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DD" w:rsidRDefault="003E7D59" w:rsidP="00664FA6">
      <w:pPr>
        <w:jc w:val="center"/>
        <w:rPr>
          <w:rFonts w:ascii="Bookman Old Style" w:hAnsi="Bookman Old Style"/>
          <w:b/>
        </w:rPr>
      </w:pPr>
      <w:r>
        <w:rPr>
          <w:rFonts w:ascii="Bookman Old Style" w:hAnsi="Bookman Old Style"/>
          <w:b/>
        </w:rPr>
        <w:t>The Bread &amp; Butter of Contribution</w:t>
      </w:r>
    </w:p>
    <w:p w:rsidR="00664FA6" w:rsidRPr="00664FA6" w:rsidRDefault="00664FA6" w:rsidP="00664FA6">
      <w:pPr>
        <w:spacing w:line="480" w:lineRule="auto"/>
        <w:jc w:val="both"/>
        <w:rPr>
          <w:rFonts w:ascii="Bookman Old Style" w:hAnsi="Bookman Old Style"/>
          <w:b/>
        </w:rPr>
      </w:pPr>
      <w:r w:rsidRPr="00664FA6">
        <w:rPr>
          <w:rFonts w:ascii="Bookman Old Style" w:hAnsi="Bookman Old Style"/>
          <w:b/>
        </w:rPr>
        <w:t xml:space="preserve">Background </w:t>
      </w:r>
    </w:p>
    <w:p w:rsidR="008D5749" w:rsidRPr="008D5749" w:rsidRDefault="00A15DEA"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‘C</w:t>
      </w:r>
      <w:r w:rsidR="001E4573">
        <w:rPr>
          <w:rFonts w:ascii="Bookman Old Style" w:hAnsi="Bookman Old Style"/>
        </w:rPr>
        <w:t>ontribution’</w:t>
      </w:r>
      <w:r w:rsidR="00C2710D">
        <w:rPr>
          <w:rFonts w:ascii="Bookman Old Style" w:hAnsi="Bookman Old Style"/>
        </w:rPr>
        <w:t>,</w:t>
      </w:r>
      <w:r w:rsidR="00203738">
        <w:rPr>
          <w:rFonts w:ascii="Bookman Old Style" w:hAnsi="Bookman Old Style"/>
        </w:rPr>
        <w:t xml:space="preserve"> in the legal sense</w:t>
      </w:r>
      <w:r w:rsidR="00C2710D">
        <w:rPr>
          <w:rFonts w:ascii="Bookman Old Style" w:hAnsi="Bookman Old Style"/>
        </w:rPr>
        <w:t xml:space="preserve"> of the word,</w:t>
      </w:r>
      <w:r w:rsidR="001E4573">
        <w:rPr>
          <w:rFonts w:ascii="Bookman Old Style" w:hAnsi="Bookman Old Style"/>
        </w:rPr>
        <w:t xml:space="preserve"> </w:t>
      </w:r>
      <w:r w:rsidR="00BF45D1">
        <w:rPr>
          <w:rFonts w:ascii="Bookman Old Style" w:hAnsi="Bookman Old Style"/>
        </w:rPr>
        <w:t>simply means</w:t>
      </w:r>
      <w:r w:rsidR="00991B83">
        <w:rPr>
          <w:rFonts w:ascii="Bookman Old Style" w:hAnsi="Bookman Old Style"/>
        </w:rPr>
        <w:t xml:space="preserve"> the divvying up of </w:t>
      </w:r>
      <w:r w:rsidR="008E40E0">
        <w:rPr>
          <w:rFonts w:ascii="Bookman Old Style" w:hAnsi="Bookman Old Style"/>
        </w:rPr>
        <w:t xml:space="preserve">a </w:t>
      </w:r>
      <w:r w:rsidR="004B1709">
        <w:rPr>
          <w:rFonts w:ascii="Bookman Old Style" w:hAnsi="Bookman Old Style"/>
        </w:rPr>
        <w:t>p</w:t>
      </w:r>
      <w:r w:rsidR="008E40E0">
        <w:rPr>
          <w:rFonts w:ascii="Bookman Old Style" w:hAnsi="Bookman Old Style"/>
        </w:rPr>
        <w:t xml:space="preserve">laintiff’s damages between </w:t>
      </w:r>
      <w:r w:rsidR="004E2D82">
        <w:rPr>
          <w:rFonts w:ascii="Bookman Old Style" w:hAnsi="Bookman Old Style"/>
        </w:rPr>
        <w:t>two</w:t>
      </w:r>
      <w:r w:rsidR="007634EF">
        <w:rPr>
          <w:rFonts w:ascii="Bookman Old Style" w:hAnsi="Bookman Old Style"/>
        </w:rPr>
        <w:t>,</w:t>
      </w:r>
      <w:r w:rsidR="004E2D82">
        <w:rPr>
          <w:rFonts w:ascii="Bookman Old Style" w:hAnsi="Bookman Old Style"/>
        </w:rPr>
        <w:t xml:space="preserve"> </w:t>
      </w:r>
      <w:r w:rsidR="008E40E0">
        <w:rPr>
          <w:rFonts w:ascii="Bookman Old Style" w:hAnsi="Bookman Old Style"/>
        </w:rPr>
        <w:t>or among multiple</w:t>
      </w:r>
      <w:r w:rsidR="007634EF">
        <w:rPr>
          <w:rFonts w:ascii="Bookman Old Style" w:hAnsi="Bookman Old Style"/>
        </w:rPr>
        <w:t>,</w:t>
      </w:r>
      <w:r w:rsidR="008E40E0">
        <w:rPr>
          <w:rFonts w:ascii="Bookman Old Style" w:hAnsi="Bookman Old Style"/>
        </w:rPr>
        <w:t xml:space="preserve"> liable parties</w:t>
      </w:r>
      <w:r w:rsidR="00042BB0">
        <w:rPr>
          <w:rFonts w:ascii="Bookman Old Style" w:hAnsi="Bookman Old Style"/>
        </w:rPr>
        <w:t>.</w:t>
      </w:r>
      <w:r w:rsidR="002D44DA">
        <w:rPr>
          <w:rFonts w:ascii="Bookman Old Style" w:hAnsi="Bookman Old Style"/>
        </w:rPr>
        <w:t xml:space="preserve">  </w:t>
      </w:r>
    </w:p>
    <w:p w:rsidR="00471BC2" w:rsidRPr="00D534D3" w:rsidRDefault="0069216B"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At common law, the rule was that </w:t>
      </w:r>
      <w:r w:rsidR="00307AE7">
        <w:rPr>
          <w:rFonts w:ascii="Bookman Old Style" w:hAnsi="Bookman Old Style"/>
        </w:rPr>
        <w:t xml:space="preserve">a liable party </w:t>
      </w:r>
      <w:r w:rsidR="00924118">
        <w:rPr>
          <w:rFonts w:ascii="Bookman Old Style" w:hAnsi="Bookman Old Style"/>
        </w:rPr>
        <w:t>could not</w:t>
      </w:r>
      <w:r w:rsidR="00307AE7">
        <w:rPr>
          <w:rFonts w:ascii="Bookman Old Style" w:hAnsi="Bookman Old Style"/>
        </w:rPr>
        <w:t xml:space="preserve"> </w:t>
      </w:r>
      <w:r w:rsidR="00471BC2">
        <w:rPr>
          <w:rFonts w:ascii="Bookman Old Style" w:hAnsi="Bookman Old Style"/>
        </w:rPr>
        <w:t>seek contribution from another</w:t>
      </w:r>
      <w:r w:rsidR="002B4FD0">
        <w:rPr>
          <w:rFonts w:ascii="Bookman Old Style" w:hAnsi="Bookman Old Style"/>
        </w:rPr>
        <w:t>; the liable party should have known it was doing the wrong thing</w:t>
      </w:r>
      <w:r w:rsidR="004C7CC9">
        <w:rPr>
          <w:rFonts w:ascii="Bookman Old Style" w:hAnsi="Bookman Old Style"/>
        </w:rPr>
        <w:t xml:space="preserve"> and </w:t>
      </w:r>
      <w:r w:rsidR="00720F0E">
        <w:rPr>
          <w:rFonts w:ascii="Bookman Old Style" w:hAnsi="Bookman Old Style"/>
        </w:rPr>
        <w:t xml:space="preserve">had to </w:t>
      </w:r>
      <w:r w:rsidR="004C7CC9">
        <w:rPr>
          <w:rFonts w:ascii="Bookman Old Style" w:hAnsi="Bookman Old Style"/>
        </w:rPr>
        <w:t>face up to the consequences</w:t>
      </w:r>
      <w:r w:rsidR="001E3103">
        <w:rPr>
          <w:rFonts w:ascii="Bookman Old Style" w:hAnsi="Bookman Old Style"/>
        </w:rPr>
        <w:t xml:space="preserve">.  </w:t>
      </w:r>
      <w:r w:rsidR="008D6B10">
        <w:rPr>
          <w:rFonts w:ascii="Bookman Old Style" w:hAnsi="Bookman Old Style"/>
        </w:rPr>
        <w:t xml:space="preserve">The rule </w:t>
      </w:r>
      <w:proofErr w:type="gramStart"/>
      <w:r w:rsidR="008D6B10">
        <w:rPr>
          <w:rFonts w:ascii="Bookman Old Style" w:hAnsi="Bookman Old Style"/>
        </w:rPr>
        <w:t>dates back to</w:t>
      </w:r>
      <w:proofErr w:type="gramEnd"/>
      <w:r w:rsidR="008D6B10">
        <w:rPr>
          <w:rFonts w:ascii="Bookman Old Style" w:hAnsi="Bookman Old Style"/>
        </w:rPr>
        <w:t xml:space="preserve"> </w:t>
      </w:r>
      <w:proofErr w:type="spellStart"/>
      <w:r w:rsidR="008D6B10" w:rsidRPr="008D6B10">
        <w:rPr>
          <w:rFonts w:ascii="Bookman Old Style" w:hAnsi="Bookman Old Style"/>
          <w:i/>
          <w:iCs/>
        </w:rPr>
        <w:t>Merryweather</w:t>
      </w:r>
      <w:proofErr w:type="spellEnd"/>
      <w:r w:rsidR="008D6B10" w:rsidRPr="008D6B10">
        <w:rPr>
          <w:rFonts w:ascii="Bookman Old Style" w:hAnsi="Bookman Old Style"/>
          <w:i/>
          <w:iCs/>
        </w:rPr>
        <w:t xml:space="preserve"> v Nixan </w:t>
      </w:r>
      <w:r w:rsidR="008D6B10" w:rsidRPr="008D6B10">
        <w:rPr>
          <w:rFonts w:ascii="Bookman Old Style" w:hAnsi="Bookman Old Style"/>
        </w:rPr>
        <w:t>(1799) 8 TR 186</w:t>
      </w:r>
      <w:r w:rsidR="00924118">
        <w:rPr>
          <w:rStyle w:val="FootnoteReference"/>
          <w:rFonts w:ascii="Bookman Old Style" w:hAnsi="Bookman Old Style"/>
        </w:rPr>
        <w:footnoteReference w:id="1"/>
      </w:r>
      <w:r w:rsidR="007E58E8">
        <w:rPr>
          <w:rFonts w:ascii="Bookman Old Style" w:hAnsi="Bookman Old Style"/>
        </w:rPr>
        <w:t xml:space="preserve">.  </w:t>
      </w:r>
      <w:r w:rsidR="004E2487">
        <w:rPr>
          <w:rFonts w:ascii="Bookman Old Style" w:hAnsi="Bookman Old Style"/>
        </w:rPr>
        <w:t xml:space="preserve">Over time, </w:t>
      </w:r>
      <w:r w:rsidR="0021175A">
        <w:rPr>
          <w:rFonts w:ascii="Bookman Old Style" w:hAnsi="Bookman Old Style"/>
        </w:rPr>
        <w:t>the courts watered down that rule</w:t>
      </w:r>
      <w:r w:rsidR="00C84D09">
        <w:rPr>
          <w:rFonts w:ascii="Bookman Old Style" w:hAnsi="Bookman Old Style"/>
        </w:rPr>
        <w:t xml:space="preserve">.  For instance, </w:t>
      </w:r>
      <w:r w:rsidR="003C663E">
        <w:rPr>
          <w:rFonts w:ascii="Bookman Old Style" w:hAnsi="Bookman Old Style"/>
        </w:rPr>
        <w:t xml:space="preserve">if an employee was following instructions and found liable, </w:t>
      </w:r>
      <w:r w:rsidR="004D1F46">
        <w:rPr>
          <w:rFonts w:ascii="Bookman Old Style" w:hAnsi="Bookman Old Style"/>
        </w:rPr>
        <w:t>th</w:t>
      </w:r>
      <w:r w:rsidR="00D16783">
        <w:rPr>
          <w:rFonts w:ascii="Bookman Old Style" w:hAnsi="Bookman Old Style"/>
        </w:rPr>
        <w:t>at</w:t>
      </w:r>
      <w:r w:rsidR="004D1F46">
        <w:rPr>
          <w:rFonts w:ascii="Bookman Old Style" w:hAnsi="Bookman Old Style"/>
        </w:rPr>
        <w:t xml:space="preserve"> employee could seek indemnity from the employe</w:t>
      </w:r>
      <w:r w:rsidR="00D16783">
        <w:rPr>
          <w:rFonts w:ascii="Bookman Old Style" w:hAnsi="Bookman Old Style"/>
        </w:rPr>
        <w:t>r</w:t>
      </w:r>
      <w:r w:rsidR="008445C2">
        <w:rPr>
          <w:rStyle w:val="FootnoteReference"/>
          <w:rFonts w:ascii="Bookman Old Style" w:hAnsi="Bookman Old Style"/>
        </w:rPr>
        <w:footnoteReference w:id="2"/>
      </w:r>
      <w:r w:rsidR="004D1F46">
        <w:rPr>
          <w:rFonts w:ascii="Bookman Old Style" w:hAnsi="Bookman Old Style"/>
        </w:rPr>
        <w:t xml:space="preserve">. </w:t>
      </w:r>
      <w:r w:rsidR="00D534D3">
        <w:rPr>
          <w:rFonts w:ascii="Bookman Old Style" w:hAnsi="Bookman Old Style"/>
        </w:rPr>
        <w:t xml:space="preserve"> </w:t>
      </w:r>
    </w:p>
    <w:p w:rsidR="00D534D3" w:rsidRPr="00471BC2" w:rsidRDefault="00D534D3"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Where the common law left unfair gaps, </w:t>
      </w:r>
      <w:r w:rsidR="001A102B">
        <w:rPr>
          <w:rFonts w:ascii="Bookman Old Style" w:hAnsi="Bookman Old Style"/>
        </w:rPr>
        <w:t xml:space="preserve">equity </w:t>
      </w:r>
      <w:r w:rsidR="00905919">
        <w:rPr>
          <w:rFonts w:ascii="Bookman Old Style" w:hAnsi="Bookman Old Style"/>
        </w:rPr>
        <w:t>stepped in</w:t>
      </w:r>
      <w:r w:rsidR="00221F3D">
        <w:rPr>
          <w:rStyle w:val="FootnoteReference"/>
          <w:rFonts w:ascii="Bookman Old Style" w:hAnsi="Bookman Old Style"/>
        </w:rPr>
        <w:footnoteReference w:id="3"/>
      </w:r>
      <w:r w:rsidR="00602C5C">
        <w:rPr>
          <w:rFonts w:ascii="Bookman Old Style" w:hAnsi="Bookman Old Style"/>
        </w:rPr>
        <w:t xml:space="preserve">.  Equitable contribution still applies, for example in </w:t>
      </w:r>
      <w:r w:rsidR="00D51CF3">
        <w:rPr>
          <w:rFonts w:ascii="Bookman Old Style" w:hAnsi="Bookman Old Style"/>
        </w:rPr>
        <w:t>cases of double insurance</w:t>
      </w:r>
      <w:r w:rsidR="001462F4">
        <w:rPr>
          <w:rFonts w:ascii="Bookman Old Style" w:hAnsi="Bookman Old Style"/>
        </w:rPr>
        <w:t xml:space="preserve">, although </w:t>
      </w:r>
      <w:r w:rsidR="00BE21A5">
        <w:rPr>
          <w:rFonts w:ascii="Bookman Old Style" w:hAnsi="Bookman Old Style"/>
        </w:rPr>
        <w:t>Justice Kitto of the High Court held that</w:t>
      </w:r>
      <w:r w:rsidR="001462F4">
        <w:rPr>
          <w:rFonts w:ascii="Bookman Old Style" w:hAnsi="Bookman Old Style"/>
        </w:rPr>
        <w:t xml:space="preserve"> th</w:t>
      </w:r>
      <w:r w:rsidR="00C03615">
        <w:rPr>
          <w:rFonts w:ascii="Bookman Old Style" w:hAnsi="Bookman Old Style"/>
        </w:rPr>
        <w:t>is</w:t>
      </w:r>
      <w:r w:rsidR="001462F4">
        <w:rPr>
          <w:rFonts w:ascii="Bookman Old Style" w:hAnsi="Bookman Old Style"/>
        </w:rPr>
        <w:t xml:space="preserve"> is a contribution recognised by the common law too</w:t>
      </w:r>
      <w:r w:rsidR="00786D7E">
        <w:rPr>
          <w:rStyle w:val="FootnoteReference"/>
          <w:rFonts w:ascii="Bookman Old Style" w:hAnsi="Bookman Old Style"/>
        </w:rPr>
        <w:footnoteReference w:id="4"/>
      </w:r>
      <w:r w:rsidR="00D51CF3">
        <w:rPr>
          <w:rFonts w:ascii="Bookman Old Style" w:hAnsi="Bookman Old Style"/>
        </w:rPr>
        <w:t xml:space="preserve">. </w:t>
      </w:r>
    </w:p>
    <w:p w:rsidR="00A571A1" w:rsidRPr="00A571A1" w:rsidRDefault="004B3FC8"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Given the piecemeal state of the law, </w:t>
      </w:r>
      <w:r w:rsidR="007B02C2">
        <w:rPr>
          <w:rFonts w:ascii="Bookman Old Style" w:hAnsi="Bookman Old Style"/>
        </w:rPr>
        <w:t xml:space="preserve">then, </w:t>
      </w:r>
      <w:r w:rsidR="005D27B6">
        <w:rPr>
          <w:rFonts w:ascii="Bookman Old Style" w:hAnsi="Bookman Old Style"/>
        </w:rPr>
        <w:t>the Victorian Parliament</w:t>
      </w:r>
      <w:r w:rsidR="005F6849">
        <w:rPr>
          <w:rFonts w:ascii="Bookman Old Style" w:hAnsi="Bookman Old Style"/>
        </w:rPr>
        <w:t xml:space="preserve"> enacted</w:t>
      </w:r>
      <w:r w:rsidR="00AF0F38">
        <w:rPr>
          <w:rFonts w:ascii="Bookman Old Style" w:hAnsi="Bookman Old Style"/>
        </w:rPr>
        <w:t xml:space="preserve"> </w:t>
      </w:r>
      <w:r w:rsidR="00452744" w:rsidRPr="002D44DA">
        <w:rPr>
          <w:rFonts w:ascii="Bookman Old Style" w:hAnsi="Bookman Old Style"/>
        </w:rPr>
        <w:t xml:space="preserve">Part IV of the </w:t>
      </w:r>
      <w:r w:rsidR="00452744" w:rsidRPr="002D44DA">
        <w:rPr>
          <w:rFonts w:ascii="Bookman Old Style" w:hAnsi="Bookman Old Style"/>
          <w:i/>
        </w:rPr>
        <w:t>Wrongs Act 1958 (Vic)</w:t>
      </w:r>
      <w:r w:rsidR="00452744" w:rsidRPr="002D44DA">
        <w:rPr>
          <w:rFonts w:ascii="Bookman Old Style" w:hAnsi="Bookman Old Style"/>
        </w:rPr>
        <w:t>.</w:t>
      </w:r>
      <w:r w:rsidR="00A836D7">
        <w:rPr>
          <w:rStyle w:val="FootnoteReference"/>
          <w:rFonts w:ascii="Bookman Old Style" w:hAnsi="Bookman Old Style"/>
        </w:rPr>
        <w:footnoteReference w:id="5"/>
      </w:r>
      <w:r w:rsidR="00452744" w:rsidRPr="002D44DA">
        <w:rPr>
          <w:rFonts w:ascii="Bookman Old Style" w:hAnsi="Bookman Old Style"/>
        </w:rPr>
        <w:t xml:space="preserve"> </w:t>
      </w:r>
      <w:r w:rsidR="00E40330">
        <w:rPr>
          <w:rFonts w:ascii="Bookman Old Style" w:hAnsi="Bookman Old Style"/>
        </w:rPr>
        <w:t xml:space="preserve"> </w:t>
      </w:r>
      <w:r w:rsidR="001F1589">
        <w:rPr>
          <w:rFonts w:ascii="Bookman Old Style" w:hAnsi="Bookman Old Style"/>
        </w:rPr>
        <w:t xml:space="preserve"> </w:t>
      </w:r>
      <w:r w:rsidR="00A836D7">
        <w:rPr>
          <w:rFonts w:ascii="Bookman Old Style" w:hAnsi="Bookman Old Style"/>
        </w:rPr>
        <w:t xml:space="preserve"> </w:t>
      </w:r>
    </w:p>
    <w:p w:rsidR="00D64F98" w:rsidRPr="00D64F98" w:rsidRDefault="00BB319F"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Part IV </w:t>
      </w:r>
      <w:r w:rsidR="001F1589">
        <w:rPr>
          <w:rFonts w:ascii="Bookman Old Style" w:hAnsi="Bookman Old Style"/>
        </w:rPr>
        <w:t xml:space="preserve">is </w:t>
      </w:r>
      <w:r w:rsidR="00996763">
        <w:rPr>
          <w:rFonts w:ascii="Bookman Old Style" w:hAnsi="Bookman Old Style"/>
        </w:rPr>
        <w:t xml:space="preserve">an </w:t>
      </w:r>
      <w:r w:rsidR="001F1589">
        <w:rPr>
          <w:rFonts w:ascii="Bookman Old Style" w:hAnsi="Bookman Old Style"/>
        </w:rPr>
        <w:t xml:space="preserve">important </w:t>
      </w:r>
      <w:r w:rsidR="00996763">
        <w:rPr>
          <w:rFonts w:ascii="Bookman Old Style" w:hAnsi="Bookman Old Style"/>
        </w:rPr>
        <w:t xml:space="preserve">regime </w:t>
      </w:r>
      <w:r w:rsidR="008D5749">
        <w:rPr>
          <w:rFonts w:ascii="Bookman Old Style" w:hAnsi="Bookman Old Style"/>
        </w:rPr>
        <w:t>for at least two reasons:</w:t>
      </w:r>
      <w:r w:rsidR="003A484D">
        <w:rPr>
          <w:rFonts w:ascii="Bookman Old Style" w:hAnsi="Bookman Old Style"/>
        </w:rPr>
        <w:t xml:space="preserve">  </w:t>
      </w:r>
    </w:p>
    <w:p w:rsidR="00D64F98" w:rsidRPr="00D64F98" w:rsidRDefault="00D64F98" w:rsidP="00D64F98">
      <w:pPr>
        <w:pStyle w:val="ListParagraph"/>
        <w:numPr>
          <w:ilvl w:val="1"/>
          <w:numId w:val="1"/>
        </w:numPr>
        <w:spacing w:line="480" w:lineRule="auto"/>
        <w:ind w:hanging="731"/>
        <w:jc w:val="both"/>
        <w:rPr>
          <w:rFonts w:ascii="Bookman Old Style" w:hAnsi="Bookman Old Style"/>
          <w:b/>
        </w:rPr>
      </w:pPr>
      <w:r>
        <w:rPr>
          <w:rFonts w:ascii="Bookman Old Style" w:hAnsi="Bookman Old Style"/>
        </w:rPr>
        <w:t>f</w:t>
      </w:r>
      <w:r w:rsidR="003A484D">
        <w:rPr>
          <w:rFonts w:ascii="Bookman Old Style" w:hAnsi="Bookman Old Style"/>
        </w:rPr>
        <w:t>irst,</w:t>
      </w:r>
      <w:r w:rsidR="001F1589">
        <w:rPr>
          <w:rFonts w:ascii="Bookman Old Style" w:hAnsi="Bookman Old Style"/>
        </w:rPr>
        <w:t xml:space="preserve"> </w:t>
      </w:r>
      <w:r w:rsidR="007E0E19">
        <w:rPr>
          <w:rFonts w:ascii="Bookman Old Style" w:hAnsi="Bookman Old Style"/>
        </w:rPr>
        <w:t>as a rule, a defendant</w:t>
      </w:r>
      <w:r w:rsidR="001F1589">
        <w:rPr>
          <w:rFonts w:ascii="Bookman Old Style" w:hAnsi="Bookman Old Style"/>
        </w:rPr>
        <w:t xml:space="preserve"> </w:t>
      </w:r>
      <w:r w:rsidR="007E0E19">
        <w:rPr>
          <w:rFonts w:ascii="Bookman Old Style" w:hAnsi="Bookman Old Style"/>
        </w:rPr>
        <w:t>is</w:t>
      </w:r>
      <w:r w:rsidR="001F1589">
        <w:rPr>
          <w:rFonts w:ascii="Bookman Old Style" w:hAnsi="Bookman Old Style"/>
        </w:rPr>
        <w:t xml:space="preserve"> jointly and severally liable for the whole of a plaintiff’s loss</w:t>
      </w:r>
      <w:r w:rsidR="00C17AB1">
        <w:rPr>
          <w:rFonts w:ascii="Bookman Old Style" w:hAnsi="Bookman Old Style"/>
        </w:rPr>
        <w:t xml:space="preserve">, even if its liability might otherwise be </w:t>
      </w:r>
      <w:r w:rsidR="00EA0437">
        <w:rPr>
          <w:rFonts w:ascii="Bookman Old Style" w:hAnsi="Bookman Old Style"/>
        </w:rPr>
        <w:t>only, say,</w:t>
      </w:r>
      <w:r w:rsidR="00C17AB1">
        <w:rPr>
          <w:rFonts w:ascii="Bookman Old Style" w:hAnsi="Bookman Old Style"/>
        </w:rPr>
        <w:t xml:space="preserve"> 5%</w:t>
      </w:r>
      <w:r w:rsidR="00A836D7">
        <w:rPr>
          <w:rStyle w:val="FootnoteReference"/>
          <w:rFonts w:ascii="Bookman Old Style" w:hAnsi="Bookman Old Style"/>
        </w:rPr>
        <w:footnoteReference w:id="6"/>
      </w:r>
      <w:r w:rsidR="008B358C">
        <w:rPr>
          <w:rFonts w:ascii="Bookman Old Style" w:hAnsi="Bookman Old Style"/>
        </w:rPr>
        <w:t xml:space="preserve">.  </w:t>
      </w:r>
      <w:r w:rsidR="008B358C">
        <w:rPr>
          <w:rFonts w:ascii="Bookman Old Style" w:hAnsi="Bookman Old Style"/>
        </w:rPr>
        <w:lastRenderedPageBreak/>
        <w:t xml:space="preserve">If the plaintiff seeks out its damages </w:t>
      </w:r>
      <w:r w:rsidR="008319D1">
        <w:rPr>
          <w:rFonts w:ascii="Bookman Old Style" w:hAnsi="Bookman Old Style"/>
        </w:rPr>
        <w:t xml:space="preserve">award </w:t>
      </w:r>
      <w:r w:rsidR="008B358C">
        <w:rPr>
          <w:rFonts w:ascii="Bookman Old Style" w:hAnsi="Bookman Old Style"/>
        </w:rPr>
        <w:t xml:space="preserve">from one defendant, </w:t>
      </w:r>
      <w:r w:rsidR="00BD2558">
        <w:rPr>
          <w:rFonts w:ascii="Bookman Old Style" w:hAnsi="Bookman Old Style"/>
        </w:rPr>
        <w:t>that defendant</w:t>
      </w:r>
      <w:r w:rsidR="008B358C">
        <w:rPr>
          <w:rFonts w:ascii="Bookman Old Style" w:hAnsi="Bookman Old Style"/>
        </w:rPr>
        <w:t xml:space="preserve"> needs a mechanism of recovering contribution from another </w:t>
      </w:r>
      <w:r w:rsidR="004504B0">
        <w:rPr>
          <w:rFonts w:ascii="Bookman Old Style" w:hAnsi="Bookman Old Style"/>
        </w:rPr>
        <w:t>liable party</w:t>
      </w:r>
      <w:r w:rsidR="00EA0437">
        <w:rPr>
          <w:rFonts w:ascii="Bookman Old Style" w:hAnsi="Bookman Old Style"/>
        </w:rPr>
        <w:t>; and</w:t>
      </w:r>
    </w:p>
    <w:p w:rsidR="00A9158A" w:rsidRPr="00A9158A" w:rsidRDefault="00D64F98" w:rsidP="00D64F98">
      <w:pPr>
        <w:pStyle w:val="ListParagraph"/>
        <w:numPr>
          <w:ilvl w:val="1"/>
          <w:numId w:val="1"/>
        </w:numPr>
        <w:spacing w:line="480" w:lineRule="auto"/>
        <w:ind w:hanging="731"/>
        <w:jc w:val="both"/>
        <w:rPr>
          <w:rFonts w:ascii="Bookman Old Style" w:hAnsi="Bookman Old Style"/>
          <w:b/>
        </w:rPr>
      </w:pPr>
      <w:r>
        <w:rPr>
          <w:rFonts w:ascii="Bookman Old Style" w:hAnsi="Bookman Old Style"/>
        </w:rPr>
        <w:t>s</w:t>
      </w:r>
      <w:r w:rsidR="008F7115">
        <w:rPr>
          <w:rFonts w:ascii="Bookman Old Style" w:hAnsi="Bookman Old Style"/>
        </w:rPr>
        <w:t xml:space="preserve">econdly, </w:t>
      </w:r>
      <w:r w:rsidR="00485311">
        <w:rPr>
          <w:rFonts w:ascii="Bookman Old Style" w:hAnsi="Bookman Old Style"/>
        </w:rPr>
        <w:t xml:space="preserve">the defendant </w:t>
      </w:r>
      <w:r w:rsidR="00FF2B6D">
        <w:rPr>
          <w:rFonts w:ascii="Bookman Old Style" w:hAnsi="Bookman Old Style"/>
        </w:rPr>
        <w:t>may</w:t>
      </w:r>
      <w:r w:rsidR="00485311">
        <w:rPr>
          <w:rFonts w:ascii="Bookman Old Style" w:hAnsi="Bookman Old Style"/>
        </w:rPr>
        <w:t xml:space="preserve"> seek contribution from a </w:t>
      </w:r>
      <w:r w:rsidR="0051588C">
        <w:rPr>
          <w:rFonts w:ascii="Bookman Old Style" w:hAnsi="Bookman Old Style"/>
        </w:rPr>
        <w:t>party</w:t>
      </w:r>
      <w:r w:rsidR="00485311">
        <w:rPr>
          <w:rFonts w:ascii="Bookman Old Style" w:hAnsi="Bookman Old Style"/>
        </w:rPr>
        <w:t xml:space="preserve"> who would be liable to the plaintiff, but the plaintiff has chosen</w:t>
      </w:r>
      <w:r w:rsidR="005F2EC2">
        <w:rPr>
          <w:rFonts w:ascii="Bookman Old Style" w:hAnsi="Bookman Old Style"/>
        </w:rPr>
        <w:t>, for whatever reason,</w:t>
      </w:r>
      <w:r w:rsidR="00485311">
        <w:rPr>
          <w:rFonts w:ascii="Bookman Old Style" w:hAnsi="Bookman Old Style"/>
        </w:rPr>
        <w:t xml:space="preserve"> not to sue</w:t>
      </w:r>
      <w:r w:rsidR="0051588C">
        <w:rPr>
          <w:rFonts w:ascii="Bookman Old Style" w:hAnsi="Bookman Old Style"/>
        </w:rPr>
        <w:t xml:space="preserve"> it</w:t>
      </w:r>
      <w:r w:rsidR="00136268">
        <w:rPr>
          <w:rFonts w:ascii="Bookman Old Style" w:hAnsi="Bookman Old Style"/>
        </w:rPr>
        <w:t>.  It is a rare cas</w:t>
      </w:r>
      <w:r w:rsidR="001C2B24">
        <w:rPr>
          <w:rFonts w:ascii="Bookman Old Style" w:hAnsi="Bookman Old Style"/>
        </w:rPr>
        <w:t>e where the Court would force a</w:t>
      </w:r>
      <w:r w:rsidR="00136268">
        <w:rPr>
          <w:rFonts w:ascii="Bookman Old Style" w:hAnsi="Bookman Old Style"/>
        </w:rPr>
        <w:t xml:space="preserve"> plaintiff to sue a further defendant</w:t>
      </w:r>
      <w:r w:rsidR="002744EE">
        <w:rPr>
          <w:rStyle w:val="FootnoteReference"/>
          <w:rFonts w:ascii="Bookman Old Style" w:hAnsi="Bookman Old Style"/>
        </w:rPr>
        <w:footnoteReference w:id="7"/>
      </w:r>
      <w:r w:rsidR="00136268">
        <w:rPr>
          <w:rFonts w:ascii="Bookman Old Style" w:hAnsi="Bookman Old Style"/>
        </w:rPr>
        <w:t xml:space="preserve">. </w:t>
      </w:r>
    </w:p>
    <w:p w:rsidR="001C2B24" w:rsidRPr="001C2B24" w:rsidRDefault="008D5749"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Strictly speaking, a</w:t>
      </w:r>
      <w:r w:rsidR="00A9158A">
        <w:rPr>
          <w:rFonts w:ascii="Bookman Old Style" w:hAnsi="Bookman Old Style"/>
        </w:rPr>
        <w:t xml:space="preserve"> claim for c</w:t>
      </w:r>
      <w:r w:rsidR="00E40330">
        <w:rPr>
          <w:rFonts w:ascii="Bookman Old Style" w:hAnsi="Bookman Old Style"/>
        </w:rPr>
        <w:t xml:space="preserve">ontribution is only enlivened when </w:t>
      </w:r>
      <w:r w:rsidR="006361A9">
        <w:rPr>
          <w:rFonts w:ascii="Bookman Old Style" w:hAnsi="Bookman Old Style"/>
        </w:rPr>
        <w:t>a defendant</w:t>
      </w:r>
      <w:r w:rsidR="00091A86">
        <w:rPr>
          <w:rFonts w:ascii="Bookman Old Style" w:hAnsi="Bookman Old Style"/>
        </w:rPr>
        <w:t xml:space="preserve"> has a liability to </w:t>
      </w:r>
      <w:r w:rsidR="008F4E1C">
        <w:rPr>
          <w:rFonts w:ascii="Bookman Old Style" w:hAnsi="Bookman Old Style"/>
        </w:rPr>
        <w:t>the plaintiff</w:t>
      </w:r>
      <w:r w:rsidR="00D77A76">
        <w:rPr>
          <w:rFonts w:ascii="Bookman Old Style" w:hAnsi="Bookman Old Style"/>
        </w:rPr>
        <w:t xml:space="preserve"> (i.e. held liable/</w:t>
      </w:r>
      <w:r w:rsidR="00074978">
        <w:rPr>
          <w:rFonts w:ascii="Bookman Old Style" w:hAnsi="Bookman Old Style"/>
        </w:rPr>
        <w:t>paid damages to the plaintiff)</w:t>
      </w:r>
      <w:r w:rsidR="008F4E1C">
        <w:rPr>
          <w:rFonts w:ascii="Bookman Old Style" w:hAnsi="Bookman Old Style"/>
        </w:rPr>
        <w:t xml:space="preserve">.  It cannot be </w:t>
      </w:r>
      <w:r w:rsidR="004F4F4A">
        <w:rPr>
          <w:rFonts w:ascii="Bookman Old Style" w:hAnsi="Bookman Old Style"/>
        </w:rPr>
        <w:t xml:space="preserve">a </w:t>
      </w:r>
      <w:r w:rsidR="00A16424">
        <w:rPr>
          <w:rFonts w:ascii="Bookman Old Style" w:hAnsi="Bookman Old Style"/>
        </w:rPr>
        <w:t xml:space="preserve">hypothetical </w:t>
      </w:r>
      <w:r w:rsidR="009E7C60">
        <w:rPr>
          <w:rFonts w:ascii="Bookman Old Style" w:hAnsi="Bookman Old Style"/>
        </w:rPr>
        <w:t>or condition</w:t>
      </w:r>
      <w:r w:rsidR="004F4F4A">
        <w:rPr>
          <w:rFonts w:ascii="Bookman Old Style" w:hAnsi="Bookman Old Style"/>
        </w:rPr>
        <w:t xml:space="preserve">al </w:t>
      </w:r>
      <w:r w:rsidR="00731F3C">
        <w:rPr>
          <w:rFonts w:ascii="Bookman Old Style" w:hAnsi="Bookman Old Style"/>
        </w:rPr>
        <w:t>liability</w:t>
      </w:r>
      <w:r w:rsidR="009E7C60">
        <w:rPr>
          <w:rFonts w:ascii="Bookman Old Style" w:hAnsi="Bookman Old Style"/>
        </w:rPr>
        <w:t>.</w:t>
      </w:r>
      <w:r w:rsidR="005A7C71">
        <w:rPr>
          <w:rStyle w:val="FootnoteReference"/>
          <w:rFonts w:ascii="Bookman Old Style" w:hAnsi="Bookman Old Style"/>
        </w:rPr>
        <w:footnoteReference w:id="8"/>
      </w:r>
      <w:r w:rsidR="009E7C60">
        <w:rPr>
          <w:rFonts w:ascii="Bookman Old Style" w:hAnsi="Bookman Old Style"/>
        </w:rPr>
        <w:t xml:space="preserve">  </w:t>
      </w:r>
    </w:p>
    <w:p w:rsidR="000F6DC2" w:rsidRPr="000F6DC2" w:rsidRDefault="00D16666"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In practice, of course, a defendant usually seeks contribution before it has a liability to the plaintiff</w:t>
      </w:r>
      <w:r w:rsidR="001C2B24">
        <w:rPr>
          <w:rFonts w:ascii="Bookman Old Style" w:hAnsi="Bookman Old Style"/>
        </w:rPr>
        <w:t>.  The contribution claim or claims then</w:t>
      </w:r>
      <w:r w:rsidR="008B346D">
        <w:rPr>
          <w:rFonts w:ascii="Bookman Old Style" w:hAnsi="Bookman Old Style"/>
        </w:rPr>
        <w:t xml:space="preserve"> </w:t>
      </w:r>
      <w:r w:rsidR="00B13CDB">
        <w:rPr>
          <w:rFonts w:ascii="Bookman Old Style" w:hAnsi="Bookman Old Style"/>
        </w:rPr>
        <w:t>run</w:t>
      </w:r>
      <w:r w:rsidR="008B346D">
        <w:rPr>
          <w:rFonts w:ascii="Bookman Old Style" w:hAnsi="Bookman Old Style"/>
        </w:rPr>
        <w:t xml:space="preserve"> </w:t>
      </w:r>
      <w:r w:rsidR="00A73957">
        <w:rPr>
          <w:rFonts w:ascii="Bookman Old Style" w:hAnsi="Bookman Old Style"/>
        </w:rPr>
        <w:t>alongside</w:t>
      </w:r>
      <w:r w:rsidR="008B346D">
        <w:rPr>
          <w:rFonts w:ascii="Bookman Old Style" w:hAnsi="Bookman Old Style"/>
        </w:rPr>
        <w:t xml:space="preserve"> the plaintiff’s</w:t>
      </w:r>
      <w:r w:rsidR="00A73957">
        <w:rPr>
          <w:rFonts w:ascii="Bookman Old Style" w:hAnsi="Bookman Old Style"/>
        </w:rPr>
        <w:t>, technically as separate proceeding</w:t>
      </w:r>
      <w:r w:rsidR="00B13CDB">
        <w:rPr>
          <w:rFonts w:ascii="Bookman Old Style" w:hAnsi="Bookman Old Style"/>
        </w:rPr>
        <w:t>s</w:t>
      </w:r>
      <w:r>
        <w:rPr>
          <w:rFonts w:ascii="Bookman Old Style" w:hAnsi="Bookman Old Style"/>
        </w:rPr>
        <w:t xml:space="preserve">.  </w:t>
      </w:r>
    </w:p>
    <w:p w:rsidR="001D1689" w:rsidRPr="001D1689" w:rsidRDefault="000F6DC2" w:rsidP="002D44DA">
      <w:pPr>
        <w:pStyle w:val="ListParagraph"/>
        <w:numPr>
          <w:ilvl w:val="0"/>
          <w:numId w:val="1"/>
        </w:numPr>
        <w:spacing w:line="480" w:lineRule="auto"/>
        <w:ind w:hanging="720"/>
        <w:jc w:val="both"/>
        <w:rPr>
          <w:rFonts w:ascii="Bookman Old Style" w:hAnsi="Bookman Old Style"/>
          <w:b/>
        </w:rPr>
      </w:pPr>
      <w:r>
        <w:rPr>
          <w:rFonts w:ascii="Bookman Old Style" w:hAnsi="Bookman Old Style"/>
        </w:rPr>
        <w:t>Speaking generally, the Court will determine contribution</w:t>
      </w:r>
      <w:r w:rsidR="00D16666">
        <w:rPr>
          <w:rFonts w:ascii="Bookman Old Style" w:hAnsi="Bookman Old Style"/>
        </w:rPr>
        <w:t xml:space="preserve"> at the same time as </w:t>
      </w:r>
      <w:r w:rsidR="00B13CDB">
        <w:rPr>
          <w:rFonts w:ascii="Bookman Old Style" w:hAnsi="Bookman Old Style"/>
        </w:rPr>
        <w:t>the plaintiff’s claim</w:t>
      </w:r>
      <w:r w:rsidR="00D16666">
        <w:rPr>
          <w:rFonts w:ascii="Bookman Old Style" w:hAnsi="Bookman Old Style"/>
        </w:rPr>
        <w:t xml:space="preserve"> or immediately after the plaintiff’s c</w:t>
      </w:r>
      <w:r w:rsidR="00D7360F">
        <w:rPr>
          <w:rFonts w:ascii="Bookman Old Style" w:hAnsi="Bookman Old Style"/>
        </w:rPr>
        <w:t>laim</w:t>
      </w:r>
      <w:r w:rsidR="00D32380">
        <w:rPr>
          <w:rFonts w:ascii="Bookman Old Style" w:hAnsi="Bookman Old Style"/>
        </w:rPr>
        <w:t>, avoiding unnecessary use of the Court’s time</w:t>
      </w:r>
      <w:r w:rsidR="00AA4582">
        <w:rPr>
          <w:rFonts w:ascii="Bookman Old Style" w:hAnsi="Bookman Old Style"/>
        </w:rPr>
        <w:t xml:space="preserve"> or wasted </w:t>
      </w:r>
      <w:r w:rsidR="00D76861">
        <w:rPr>
          <w:rFonts w:ascii="Bookman Old Style" w:hAnsi="Bookman Old Style"/>
        </w:rPr>
        <w:t>resources</w:t>
      </w:r>
      <w:r w:rsidR="00D16666">
        <w:rPr>
          <w:rFonts w:ascii="Bookman Old Style" w:hAnsi="Bookman Old Style"/>
        </w:rPr>
        <w:t>.</w:t>
      </w:r>
      <w:r w:rsidR="00B81AC0">
        <w:rPr>
          <w:rFonts w:ascii="Bookman Old Style" w:hAnsi="Bookman Old Style"/>
        </w:rPr>
        <w:t xml:space="preserve">  </w:t>
      </w:r>
    </w:p>
    <w:p w:rsidR="00D16783" w:rsidRDefault="00D16783" w:rsidP="008451DA">
      <w:pPr>
        <w:spacing w:line="480" w:lineRule="auto"/>
        <w:jc w:val="both"/>
        <w:rPr>
          <w:rFonts w:ascii="Bookman Old Style" w:hAnsi="Bookman Old Style"/>
          <w:b/>
        </w:rPr>
      </w:pPr>
    </w:p>
    <w:p w:rsidR="00D16783" w:rsidRDefault="00D16783" w:rsidP="008451DA">
      <w:pPr>
        <w:spacing w:line="480" w:lineRule="auto"/>
        <w:jc w:val="both"/>
        <w:rPr>
          <w:rFonts w:ascii="Bookman Old Style" w:hAnsi="Bookman Old Style"/>
          <w:b/>
        </w:rPr>
      </w:pPr>
    </w:p>
    <w:p w:rsidR="008451DA" w:rsidRPr="008451DA" w:rsidRDefault="008451DA" w:rsidP="008451DA">
      <w:pPr>
        <w:spacing w:line="480" w:lineRule="auto"/>
        <w:jc w:val="both"/>
        <w:rPr>
          <w:rFonts w:ascii="Bookman Old Style" w:hAnsi="Bookman Old Style"/>
          <w:b/>
        </w:rPr>
      </w:pPr>
      <w:r w:rsidRPr="008451DA">
        <w:rPr>
          <w:rFonts w:ascii="Bookman Old Style" w:hAnsi="Bookman Old Style"/>
          <w:b/>
        </w:rPr>
        <w:t xml:space="preserve">When is contribution available? </w:t>
      </w:r>
    </w:p>
    <w:p w:rsidR="00F13B45" w:rsidRPr="00F84A33" w:rsidRDefault="004B6315" w:rsidP="00453CDD">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Section </w:t>
      </w:r>
      <w:proofErr w:type="spellStart"/>
      <w:r>
        <w:rPr>
          <w:rFonts w:ascii="Bookman Old Style" w:hAnsi="Bookman Old Style"/>
        </w:rPr>
        <w:t>23</w:t>
      </w:r>
      <w:r w:rsidR="00291C25">
        <w:rPr>
          <w:rFonts w:ascii="Bookman Old Style" w:hAnsi="Bookman Old Style"/>
        </w:rPr>
        <w:t>B</w:t>
      </w:r>
      <w:proofErr w:type="spellEnd"/>
      <w:r>
        <w:rPr>
          <w:rFonts w:ascii="Bookman Old Style" w:hAnsi="Bookman Old Style"/>
        </w:rPr>
        <w:t xml:space="preserve"> of the </w:t>
      </w:r>
      <w:r>
        <w:rPr>
          <w:rFonts w:ascii="Bookman Old Style" w:hAnsi="Bookman Old Style"/>
          <w:i/>
        </w:rPr>
        <w:t xml:space="preserve">Wrongs Act </w:t>
      </w:r>
      <w:r w:rsidR="001730D4">
        <w:rPr>
          <w:rFonts w:ascii="Bookman Old Style" w:hAnsi="Bookman Old Style"/>
        </w:rPr>
        <w:t xml:space="preserve">provides that </w:t>
      </w:r>
      <w:r w:rsidR="00664FA6">
        <w:rPr>
          <w:rFonts w:ascii="Bookman Old Style" w:hAnsi="Bookman Old Style"/>
        </w:rPr>
        <w:t>a</w:t>
      </w:r>
      <w:r w:rsidR="001730D4">
        <w:rPr>
          <w:rFonts w:ascii="Bookman Old Style" w:hAnsi="Bookman Old Style"/>
        </w:rPr>
        <w:t xml:space="preserve"> </w:t>
      </w:r>
      <w:r w:rsidR="00270A6B">
        <w:rPr>
          <w:rFonts w:ascii="Bookman Old Style" w:hAnsi="Bookman Old Style"/>
        </w:rPr>
        <w:t>“</w:t>
      </w:r>
      <w:r w:rsidR="001730D4" w:rsidRPr="00270A6B">
        <w:rPr>
          <w:rFonts w:ascii="Bookman Old Style" w:hAnsi="Bookman Old Style"/>
          <w:i/>
        </w:rPr>
        <w:t>liable party</w:t>
      </w:r>
      <w:r w:rsidR="00270A6B">
        <w:rPr>
          <w:rFonts w:ascii="Bookman Old Style" w:hAnsi="Bookman Old Style"/>
        </w:rPr>
        <w:t>”</w:t>
      </w:r>
      <w:r w:rsidR="001730D4">
        <w:rPr>
          <w:rFonts w:ascii="Bookman Old Style" w:hAnsi="Bookman Old Style"/>
        </w:rPr>
        <w:t xml:space="preserve"> </w:t>
      </w:r>
      <w:r w:rsidR="00EF1B0E">
        <w:rPr>
          <w:rFonts w:ascii="Bookman Old Style" w:hAnsi="Bookman Old Style"/>
        </w:rPr>
        <w:t>may</w:t>
      </w:r>
      <w:r w:rsidR="001730D4">
        <w:rPr>
          <w:rFonts w:ascii="Bookman Old Style" w:hAnsi="Bookman Old Style"/>
        </w:rPr>
        <w:t xml:space="preserve"> seek </w:t>
      </w:r>
      <w:r w:rsidR="00291C25">
        <w:rPr>
          <w:rFonts w:ascii="Bookman Old Style" w:hAnsi="Bookman Old Style"/>
        </w:rPr>
        <w:t>contribution from another if that</w:t>
      </w:r>
      <w:r w:rsidR="001730D4">
        <w:rPr>
          <w:rFonts w:ascii="Bookman Old Style" w:hAnsi="Bookman Old Style"/>
        </w:rPr>
        <w:t xml:space="preserve"> second party is “</w:t>
      </w:r>
      <w:r w:rsidR="001730D4" w:rsidRPr="001730D4">
        <w:rPr>
          <w:rFonts w:ascii="Bookman Old Style" w:hAnsi="Bookman Old Style"/>
          <w:i/>
        </w:rPr>
        <w:t>liable in respect of the same damage</w:t>
      </w:r>
      <w:r w:rsidR="001730D4">
        <w:rPr>
          <w:rFonts w:ascii="Bookman Old Style" w:hAnsi="Bookman Old Style"/>
        </w:rPr>
        <w:t>”.</w:t>
      </w:r>
      <w:r w:rsidR="00042BB0">
        <w:rPr>
          <w:rFonts w:ascii="Bookman Old Style" w:hAnsi="Bookman Old Style"/>
        </w:rPr>
        <w:t xml:space="preserve"> </w:t>
      </w:r>
      <w:r w:rsidR="00A306BD">
        <w:rPr>
          <w:rFonts w:ascii="Bookman Old Style" w:hAnsi="Bookman Old Style"/>
        </w:rPr>
        <w:t xml:space="preserve"> </w:t>
      </w:r>
    </w:p>
    <w:p w:rsidR="00FA16A5" w:rsidRPr="00FA16A5" w:rsidRDefault="00F84A33" w:rsidP="00453CDD">
      <w:pPr>
        <w:pStyle w:val="ListParagraph"/>
        <w:numPr>
          <w:ilvl w:val="0"/>
          <w:numId w:val="1"/>
        </w:numPr>
        <w:spacing w:line="480" w:lineRule="auto"/>
        <w:ind w:hanging="720"/>
        <w:jc w:val="both"/>
        <w:rPr>
          <w:rFonts w:ascii="Bookman Old Style" w:hAnsi="Bookman Old Style"/>
          <w:b/>
        </w:rPr>
      </w:pPr>
      <w:r>
        <w:rPr>
          <w:rFonts w:ascii="Bookman Old Style" w:hAnsi="Bookman Old Style"/>
        </w:rPr>
        <w:lastRenderedPageBreak/>
        <w:t xml:space="preserve">This </w:t>
      </w:r>
      <w:r w:rsidR="002B6089">
        <w:rPr>
          <w:rFonts w:ascii="Bookman Old Style" w:hAnsi="Bookman Old Style"/>
        </w:rPr>
        <w:t xml:space="preserve">wording </w:t>
      </w:r>
      <w:r w:rsidR="00570278">
        <w:rPr>
          <w:rFonts w:ascii="Bookman Old Style" w:hAnsi="Bookman Old Style"/>
        </w:rPr>
        <w:t>asks</w:t>
      </w:r>
      <w:r w:rsidR="00FA16A5">
        <w:rPr>
          <w:rFonts w:ascii="Bookman Old Style" w:hAnsi="Bookman Old Style"/>
        </w:rPr>
        <w:t xml:space="preserve"> two questions:</w:t>
      </w:r>
      <w:r>
        <w:rPr>
          <w:rFonts w:ascii="Bookman Old Style" w:hAnsi="Bookman Old Style"/>
        </w:rPr>
        <w:t xml:space="preserve"> </w:t>
      </w:r>
    </w:p>
    <w:p w:rsidR="00FA16A5" w:rsidRPr="00FA16A5" w:rsidRDefault="00FA16A5" w:rsidP="006B7C14">
      <w:pPr>
        <w:pStyle w:val="ListParagraph"/>
        <w:numPr>
          <w:ilvl w:val="1"/>
          <w:numId w:val="1"/>
        </w:numPr>
        <w:spacing w:line="480" w:lineRule="auto"/>
        <w:ind w:hanging="731"/>
        <w:jc w:val="both"/>
        <w:rPr>
          <w:rFonts w:ascii="Bookman Old Style" w:hAnsi="Bookman Old Style"/>
          <w:b/>
        </w:rPr>
      </w:pPr>
      <w:r>
        <w:rPr>
          <w:rFonts w:ascii="Bookman Old Style" w:hAnsi="Bookman Old Style"/>
        </w:rPr>
        <w:t>w</w:t>
      </w:r>
      <w:r w:rsidR="00F84A33">
        <w:rPr>
          <w:rFonts w:ascii="Bookman Old Style" w:hAnsi="Bookman Old Style"/>
        </w:rPr>
        <w:t xml:space="preserve">ho is a </w:t>
      </w:r>
      <w:r w:rsidR="003311C8">
        <w:rPr>
          <w:rFonts w:ascii="Bookman Old Style" w:hAnsi="Bookman Old Style"/>
        </w:rPr>
        <w:t>“</w:t>
      </w:r>
      <w:r w:rsidR="003311C8" w:rsidRPr="00270A6B">
        <w:rPr>
          <w:rFonts w:ascii="Bookman Old Style" w:hAnsi="Bookman Old Style"/>
          <w:i/>
        </w:rPr>
        <w:t>liable party</w:t>
      </w:r>
      <w:r w:rsidR="003311C8">
        <w:rPr>
          <w:rFonts w:ascii="Bookman Old Style" w:hAnsi="Bookman Old Style"/>
        </w:rPr>
        <w:t>”?</w:t>
      </w:r>
      <w:r>
        <w:rPr>
          <w:rFonts w:ascii="Bookman Old Style" w:hAnsi="Bookman Old Style"/>
        </w:rPr>
        <w:t>; and</w:t>
      </w:r>
      <w:r w:rsidR="003311C8">
        <w:rPr>
          <w:rFonts w:ascii="Bookman Old Style" w:hAnsi="Bookman Old Style"/>
        </w:rPr>
        <w:t xml:space="preserve"> </w:t>
      </w:r>
    </w:p>
    <w:p w:rsidR="00F84A33" w:rsidRPr="00F13B45" w:rsidRDefault="00FA16A5" w:rsidP="006B7C14">
      <w:pPr>
        <w:pStyle w:val="ListParagraph"/>
        <w:numPr>
          <w:ilvl w:val="1"/>
          <w:numId w:val="1"/>
        </w:numPr>
        <w:spacing w:line="480" w:lineRule="auto"/>
        <w:ind w:hanging="731"/>
        <w:jc w:val="both"/>
        <w:rPr>
          <w:rFonts w:ascii="Bookman Old Style" w:hAnsi="Bookman Old Style"/>
          <w:b/>
        </w:rPr>
      </w:pPr>
      <w:r>
        <w:rPr>
          <w:rFonts w:ascii="Bookman Old Style" w:hAnsi="Bookman Old Style"/>
        </w:rPr>
        <w:t>w</w:t>
      </w:r>
      <w:r w:rsidR="00F84A33">
        <w:rPr>
          <w:rFonts w:ascii="Bookman Old Style" w:hAnsi="Bookman Old Style"/>
        </w:rPr>
        <w:t xml:space="preserve">hat does the phrase </w:t>
      </w:r>
      <w:r w:rsidR="003311C8">
        <w:rPr>
          <w:rFonts w:ascii="Bookman Old Style" w:hAnsi="Bookman Old Style"/>
        </w:rPr>
        <w:t>“</w:t>
      </w:r>
      <w:r w:rsidR="003311C8" w:rsidRPr="001730D4">
        <w:rPr>
          <w:rFonts w:ascii="Bookman Old Style" w:hAnsi="Bookman Old Style"/>
          <w:i/>
        </w:rPr>
        <w:t>same damage</w:t>
      </w:r>
      <w:r w:rsidR="003311C8">
        <w:rPr>
          <w:rFonts w:ascii="Bookman Old Style" w:hAnsi="Bookman Old Style"/>
        </w:rPr>
        <w:t>”</w:t>
      </w:r>
      <w:r w:rsidR="00F84A33">
        <w:rPr>
          <w:rFonts w:ascii="Bookman Old Style" w:hAnsi="Bookman Old Style"/>
        </w:rPr>
        <w:t xml:space="preserve"> mean?</w:t>
      </w:r>
      <w:r w:rsidR="003311C8">
        <w:rPr>
          <w:rFonts w:ascii="Bookman Old Style" w:hAnsi="Bookman Old Style"/>
        </w:rPr>
        <w:t xml:space="preserve"> </w:t>
      </w:r>
    </w:p>
    <w:p w:rsidR="008C5E05" w:rsidRPr="00962AA8" w:rsidRDefault="00962AA8" w:rsidP="00962AA8">
      <w:pPr>
        <w:spacing w:line="480" w:lineRule="auto"/>
        <w:jc w:val="both"/>
        <w:rPr>
          <w:rFonts w:ascii="Bookman Old Style" w:hAnsi="Bookman Old Style"/>
          <w:b/>
        </w:rPr>
      </w:pPr>
      <w:r>
        <w:rPr>
          <w:rFonts w:ascii="Bookman Old Style" w:hAnsi="Bookman Old Style"/>
          <w:b/>
        </w:rPr>
        <w:t>“</w:t>
      </w:r>
      <w:r w:rsidRPr="00962AA8">
        <w:rPr>
          <w:rFonts w:ascii="Bookman Old Style" w:hAnsi="Bookman Old Style"/>
          <w:b/>
        </w:rPr>
        <w:t>Liable party”: s</w:t>
      </w:r>
      <w:r w:rsidR="008C5E05" w:rsidRPr="00962AA8">
        <w:rPr>
          <w:rFonts w:ascii="Bookman Old Style" w:hAnsi="Bookman Old Style"/>
          <w:b/>
        </w:rPr>
        <w:t>ettling with a plaintiff and pursuing contribution later</w:t>
      </w:r>
    </w:p>
    <w:p w:rsidR="001E33DE" w:rsidRPr="001E33DE" w:rsidRDefault="001E33DE" w:rsidP="001E33DE">
      <w:pPr>
        <w:pStyle w:val="ListParagraph"/>
        <w:numPr>
          <w:ilvl w:val="0"/>
          <w:numId w:val="1"/>
        </w:numPr>
        <w:spacing w:line="480" w:lineRule="auto"/>
        <w:ind w:hanging="720"/>
        <w:jc w:val="both"/>
        <w:rPr>
          <w:rFonts w:ascii="Bookman Old Style" w:hAnsi="Bookman Old Style"/>
          <w:b/>
        </w:rPr>
      </w:pPr>
      <w:r>
        <w:rPr>
          <w:rFonts w:ascii="Bookman Old Style" w:hAnsi="Bookman Old Style"/>
        </w:rPr>
        <w:t>The phrase “</w:t>
      </w:r>
      <w:r>
        <w:rPr>
          <w:rFonts w:ascii="Bookman Old Style" w:hAnsi="Bookman Old Style"/>
          <w:i/>
        </w:rPr>
        <w:t>liable party</w:t>
      </w:r>
      <w:r>
        <w:rPr>
          <w:rFonts w:ascii="Bookman Old Style" w:hAnsi="Bookman Old Style"/>
        </w:rPr>
        <w:t>” does not mean that the Court must find the party liable</w:t>
      </w:r>
      <w:r w:rsidR="00BA6566">
        <w:rPr>
          <w:rFonts w:ascii="Bookman Old Style" w:hAnsi="Bookman Old Style"/>
        </w:rPr>
        <w:t xml:space="preserve"> to a plaintiff (or claimant)</w:t>
      </w:r>
      <w:r>
        <w:rPr>
          <w:rFonts w:ascii="Bookman Old Style" w:hAnsi="Bookman Old Style"/>
        </w:rPr>
        <w:t xml:space="preserve"> before it has a right of contribution against another</w:t>
      </w:r>
      <w:r w:rsidR="00BF5D30">
        <w:rPr>
          <w:rFonts w:ascii="Bookman Old Style" w:hAnsi="Bookman Old Style"/>
        </w:rPr>
        <w:t xml:space="preserve">, although </w:t>
      </w:r>
      <w:r w:rsidR="00A2707D">
        <w:rPr>
          <w:rFonts w:ascii="Bookman Old Style" w:hAnsi="Bookman Old Style"/>
        </w:rPr>
        <w:t>obviously that</w:t>
      </w:r>
      <w:r w:rsidR="00BF5D30">
        <w:rPr>
          <w:rFonts w:ascii="Bookman Old Style" w:hAnsi="Bookman Old Style"/>
        </w:rPr>
        <w:t xml:space="preserve"> would satisfy the </w:t>
      </w:r>
      <w:r w:rsidR="00F24E6F">
        <w:rPr>
          <w:rFonts w:ascii="Bookman Old Style" w:hAnsi="Bookman Old Style"/>
        </w:rPr>
        <w:t>test</w:t>
      </w:r>
      <w:r>
        <w:rPr>
          <w:rFonts w:ascii="Bookman Old Style" w:hAnsi="Bookman Old Style"/>
        </w:rPr>
        <w:t>.</w:t>
      </w:r>
      <w:r w:rsidR="00170E63">
        <w:rPr>
          <w:rFonts w:ascii="Bookman Old Style" w:hAnsi="Bookman Old Style"/>
        </w:rPr>
        <w:t xml:space="preserve">  This would result in needless litigation. </w:t>
      </w:r>
      <w:r>
        <w:rPr>
          <w:rFonts w:ascii="Bookman Old Style" w:hAnsi="Bookman Old Style"/>
        </w:rPr>
        <w:t xml:space="preserve">  </w:t>
      </w:r>
    </w:p>
    <w:p w:rsidR="008C5E05" w:rsidRPr="008C5E05" w:rsidRDefault="00C155A8" w:rsidP="00453CDD">
      <w:pPr>
        <w:pStyle w:val="ListParagraph"/>
        <w:numPr>
          <w:ilvl w:val="0"/>
          <w:numId w:val="1"/>
        </w:numPr>
        <w:spacing w:line="480" w:lineRule="auto"/>
        <w:ind w:hanging="720"/>
        <w:jc w:val="both"/>
        <w:rPr>
          <w:rFonts w:ascii="Bookman Old Style" w:hAnsi="Bookman Old Style"/>
          <w:b/>
        </w:rPr>
      </w:pPr>
      <w:r>
        <w:rPr>
          <w:rFonts w:ascii="Bookman Old Style" w:hAnsi="Bookman Old Style"/>
        </w:rPr>
        <w:t>Sub-s</w:t>
      </w:r>
      <w:r w:rsidR="00685422">
        <w:rPr>
          <w:rFonts w:ascii="Bookman Old Style" w:hAnsi="Bookman Old Style"/>
        </w:rPr>
        <w:t xml:space="preserve">ections </w:t>
      </w:r>
      <w:proofErr w:type="spellStart"/>
      <w:r w:rsidR="00685422">
        <w:rPr>
          <w:rFonts w:ascii="Bookman Old Style" w:hAnsi="Bookman Old Style"/>
        </w:rPr>
        <w:t>23B</w:t>
      </w:r>
      <w:proofErr w:type="spellEnd"/>
      <w:r w:rsidR="00685422">
        <w:rPr>
          <w:rFonts w:ascii="Bookman Old Style" w:hAnsi="Bookman Old Style"/>
        </w:rPr>
        <w:t>(4) and</w:t>
      </w:r>
      <w:r w:rsidR="00866EE2">
        <w:rPr>
          <w:rFonts w:ascii="Bookman Old Style" w:hAnsi="Bookman Old Style"/>
        </w:rPr>
        <w:t xml:space="preserve"> (5) </w:t>
      </w:r>
      <w:r w:rsidR="00552477">
        <w:rPr>
          <w:rFonts w:ascii="Bookman Old Style" w:hAnsi="Bookman Old Style"/>
          <w:i/>
        </w:rPr>
        <w:t xml:space="preserve">of the Wrongs Act </w:t>
      </w:r>
      <w:r w:rsidR="007D2501">
        <w:rPr>
          <w:rFonts w:ascii="Bookman Old Style" w:hAnsi="Bookman Old Style"/>
        </w:rPr>
        <w:t xml:space="preserve">provide that, </w:t>
      </w:r>
      <w:r w:rsidR="006E2E1E">
        <w:rPr>
          <w:rFonts w:ascii="Bookman Old Style" w:hAnsi="Bookman Old Style"/>
        </w:rPr>
        <w:t>as long as</w:t>
      </w:r>
      <w:r w:rsidR="007D2501">
        <w:rPr>
          <w:rFonts w:ascii="Bookman Old Style" w:hAnsi="Bookman Old Style"/>
        </w:rPr>
        <w:t xml:space="preserve"> the defendant settles with the plaintiff</w:t>
      </w:r>
      <w:r w:rsidR="000945F4">
        <w:rPr>
          <w:rFonts w:ascii="Bookman Old Style" w:hAnsi="Bookman Old Style"/>
        </w:rPr>
        <w:t xml:space="preserve"> (or claimant)</w:t>
      </w:r>
      <w:r w:rsidR="007D2501">
        <w:rPr>
          <w:rFonts w:ascii="Bookman Old Style" w:hAnsi="Bookman Old Style"/>
        </w:rPr>
        <w:t xml:space="preserve"> “</w:t>
      </w:r>
      <w:r w:rsidR="007D2501">
        <w:rPr>
          <w:rFonts w:ascii="Bookman Old Style" w:hAnsi="Bookman Old Style"/>
          <w:i/>
        </w:rPr>
        <w:t>in good faith</w:t>
      </w:r>
      <w:r w:rsidR="007D2501">
        <w:rPr>
          <w:rFonts w:ascii="Bookman Old Style" w:hAnsi="Bookman Old Style"/>
        </w:rPr>
        <w:t xml:space="preserve">” and, assuming </w:t>
      </w:r>
      <w:r w:rsidR="00800C87">
        <w:rPr>
          <w:rFonts w:ascii="Bookman Old Style" w:hAnsi="Bookman Old Style"/>
        </w:rPr>
        <w:t xml:space="preserve">on the </w:t>
      </w:r>
      <w:r w:rsidR="004B1709">
        <w:rPr>
          <w:rFonts w:ascii="Bookman Old Style" w:hAnsi="Bookman Old Style"/>
        </w:rPr>
        <w:t>p</w:t>
      </w:r>
      <w:r w:rsidR="00800C87">
        <w:rPr>
          <w:rFonts w:ascii="Bookman Old Style" w:hAnsi="Bookman Old Style"/>
        </w:rPr>
        <w:t>laintiff’s facts the defendant would have been liable</w:t>
      </w:r>
      <w:r w:rsidR="00B82A5D">
        <w:rPr>
          <w:rFonts w:ascii="Bookman Old Style" w:hAnsi="Bookman Old Style"/>
        </w:rPr>
        <w:t>,</w:t>
      </w:r>
      <w:r w:rsidR="000E61C6">
        <w:rPr>
          <w:rFonts w:ascii="Bookman Old Style" w:hAnsi="Bookman Old Style"/>
        </w:rPr>
        <w:t xml:space="preserve"> the defendant is permitted to </w:t>
      </w:r>
      <w:r w:rsidR="0051588C">
        <w:rPr>
          <w:rFonts w:ascii="Bookman Old Style" w:hAnsi="Bookman Old Style"/>
        </w:rPr>
        <w:t>pursue</w:t>
      </w:r>
      <w:r w:rsidR="000E61C6">
        <w:rPr>
          <w:rFonts w:ascii="Bookman Old Style" w:hAnsi="Bookman Old Style"/>
        </w:rPr>
        <w:t xml:space="preserve"> </w:t>
      </w:r>
      <w:r w:rsidR="00710551">
        <w:rPr>
          <w:rFonts w:ascii="Bookman Old Style" w:hAnsi="Bookman Old Style"/>
        </w:rPr>
        <w:t>the third party for contribution</w:t>
      </w:r>
      <w:r w:rsidR="00DC7480">
        <w:rPr>
          <w:rFonts w:ascii="Bookman Old Style" w:hAnsi="Bookman Old Style"/>
        </w:rPr>
        <w:t>.</w:t>
      </w:r>
      <w:r w:rsidR="000E61C6">
        <w:rPr>
          <w:rFonts w:ascii="Bookman Old Style" w:hAnsi="Bookman Old Style"/>
        </w:rPr>
        <w:t xml:space="preserve">  </w:t>
      </w:r>
    </w:p>
    <w:p w:rsidR="008C5E05" w:rsidRPr="008C5E05" w:rsidRDefault="00710551" w:rsidP="00453CDD">
      <w:pPr>
        <w:pStyle w:val="ListParagraph"/>
        <w:numPr>
          <w:ilvl w:val="0"/>
          <w:numId w:val="1"/>
        </w:numPr>
        <w:spacing w:line="480" w:lineRule="auto"/>
        <w:ind w:hanging="720"/>
        <w:jc w:val="both"/>
        <w:rPr>
          <w:rFonts w:ascii="Bookman Old Style" w:hAnsi="Bookman Old Style"/>
          <w:b/>
        </w:rPr>
      </w:pPr>
      <w:r>
        <w:rPr>
          <w:rFonts w:ascii="Bookman Old Style" w:hAnsi="Bookman Old Style"/>
        </w:rPr>
        <w:t>If</w:t>
      </w:r>
      <w:r w:rsidR="00542E17">
        <w:rPr>
          <w:rFonts w:ascii="Bookman Old Style" w:hAnsi="Bookman Old Style"/>
        </w:rPr>
        <w:t>,</w:t>
      </w:r>
      <w:r>
        <w:rPr>
          <w:rFonts w:ascii="Bookman Old Style" w:hAnsi="Bookman Old Style"/>
        </w:rPr>
        <w:t xml:space="preserve"> however, the defendant settles for an </w:t>
      </w:r>
      <w:r w:rsidR="009F5ACA">
        <w:rPr>
          <w:rFonts w:ascii="Bookman Old Style" w:hAnsi="Bookman Old Style"/>
        </w:rPr>
        <w:t>“</w:t>
      </w:r>
      <w:r w:rsidRPr="009F5ACA">
        <w:rPr>
          <w:rFonts w:ascii="Bookman Old Style" w:hAnsi="Bookman Old Style"/>
          <w:i/>
        </w:rPr>
        <w:t>excessive</w:t>
      </w:r>
      <w:r w:rsidR="009F5ACA">
        <w:rPr>
          <w:rFonts w:ascii="Bookman Old Style" w:hAnsi="Bookman Old Style"/>
        </w:rPr>
        <w:t>”</w:t>
      </w:r>
      <w:r>
        <w:rPr>
          <w:rFonts w:ascii="Bookman Old Style" w:hAnsi="Bookman Old Style"/>
        </w:rPr>
        <w:t xml:space="preserve"> </w:t>
      </w:r>
      <w:r w:rsidR="009F5ACA">
        <w:rPr>
          <w:rFonts w:ascii="Bookman Old Style" w:hAnsi="Bookman Old Style"/>
        </w:rPr>
        <w:t>sum</w:t>
      </w:r>
      <w:r>
        <w:rPr>
          <w:rFonts w:ascii="Bookman Old Style" w:hAnsi="Bookman Old Style"/>
        </w:rPr>
        <w:t xml:space="preserve">, the Court </w:t>
      </w:r>
      <w:r w:rsidR="00DC7480">
        <w:rPr>
          <w:rFonts w:ascii="Bookman Old Style" w:hAnsi="Bookman Old Style"/>
        </w:rPr>
        <w:t>will</w:t>
      </w:r>
      <w:r>
        <w:rPr>
          <w:rFonts w:ascii="Bookman Old Style" w:hAnsi="Bookman Old Style"/>
        </w:rPr>
        <w:t xml:space="preserve"> disregard that </w:t>
      </w:r>
      <w:r w:rsidR="00C155A8">
        <w:rPr>
          <w:rFonts w:ascii="Bookman Old Style" w:hAnsi="Bookman Old Style"/>
        </w:rPr>
        <w:t>sum</w:t>
      </w:r>
      <w:r>
        <w:rPr>
          <w:rFonts w:ascii="Bookman Old Style" w:hAnsi="Bookman Old Style"/>
        </w:rPr>
        <w:t xml:space="preserve"> </w:t>
      </w:r>
      <w:r w:rsidR="00DC7480">
        <w:rPr>
          <w:rFonts w:ascii="Bookman Old Style" w:hAnsi="Bookman Old Style"/>
        </w:rPr>
        <w:t>when it determines contribution</w:t>
      </w:r>
      <w:r w:rsidR="00030FDA">
        <w:rPr>
          <w:rStyle w:val="FootnoteReference"/>
          <w:rFonts w:ascii="Bookman Old Style" w:hAnsi="Bookman Old Style"/>
        </w:rPr>
        <w:footnoteReference w:id="9"/>
      </w:r>
      <w:r w:rsidR="00DC7480">
        <w:rPr>
          <w:rFonts w:ascii="Bookman Old Style" w:hAnsi="Bookman Old Style"/>
        </w:rPr>
        <w:t xml:space="preserve">.  </w:t>
      </w:r>
    </w:p>
    <w:p w:rsidR="00D8091B" w:rsidRPr="00202289" w:rsidRDefault="00030FDA" w:rsidP="00453CDD">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In </w:t>
      </w:r>
      <w:r w:rsidR="008C5E05">
        <w:rPr>
          <w:rFonts w:ascii="Bookman Old Style" w:hAnsi="Bookman Old Style"/>
        </w:rPr>
        <w:t>this</w:t>
      </w:r>
      <w:r>
        <w:rPr>
          <w:rFonts w:ascii="Bookman Old Style" w:hAnsi="Bookman Old Style"/>
        </w:rPr>
        <w:t xml:space="preserve"> way, it is important that a </w:t>
      </w:r>
      <w:r w:rsidR="00202289">
        <w:rPr>
          <w:rFonts w:ascii="Bookman Old Style" w:hAnsi="Bookman Old Style"/>
        </w:rPr>
        <w:t xml:space="preserve">defendant, when settling with a plaintiff </w:t>
      </w:r>
      <w:r w:rsidR="00A73DCC">
        <w:rPr>
          <w:rFonts w:ascii="Bookman Old Style" w:hAnsi="Bookman Old Style"/>
        </w:rPr>
        <w:t>before resolving contribution</w:t>
      </w:r>
      <w:r w:rsidR="00202289">
        <w:rPr>
          <w:rFonts w:ascii="Bookman Old Style" w:hAnsi="Bookman Old Style"/>
        </w:rPr>
        <w:t>, ensures that:</w:t>
      </w:r>
    </w:p>
    <w:p w:rsidR="00202289" w:rsidRPr="00202289" w:rsidRDefault="007C16C4" w:rsidP="000405C2">
      <w:pPr>
        <w:pStyle w:val="ListParagraph"/>
        <w:numPr>
          <w:ilvl w:val="1"/>
          <w:numId w:val="1"/>
        </w:numPr>
        <w:spacing w:line="480" w:lineRule="auto"/>
        <w:ind w:hanging="731"/>
        <w:jc w:val="both"/>
        <w:rPr>
          <w:rFonts w:ascii="Bookman Old Style" w:hAnsi="Bookman Old Style"/>
          <w:b/>
        </w:rPr>
      </w:pPr>
      <w:r>
        <w:rPr>
          <w:rFonts w:ascii="Bookman Old Style" w:hAnsi="Bookman Old Style"/>
        </w:rPr>
        <w:t>t</w:t>
      </w:r>
      <w:r w:rsidR="00202289">
        <w:rPr>
          <w:rFonts w:ascii="Bookman Old Style" w:hAnsi="Bookman Old Style"/>
        </w:rPr>
        <w:t xml:space="preserve">he plaintiff has an arguable case against the defendant </w:t>
      </w:r>
      <w:r w:rsidR="0026393E">
        <w:rPr>
          <w:rFonts w:ascii="Bookman Old Style" w:hAnsi="Bookman Old Style"/>
        </w:rPr>
        <w:t xml:space="preserve">- </w:t>
      </w:r>
      <w:r w:rsidR="00202289">
        <w:rPr>
          <w:rFonts w:ascii="Bookman Old Style" w:hAnsi="Bookman Old Style"/>
        </w:rPr>
        <w:t xml:space="preserve">on </w:t>
      </w:r>
      <w:r w:rsidR="007E4B8E">
        <w:rPr>
          <w:rFonts w:ascii="Bookman Old Style" w:hAnsi="Bookman Old Style"/>
        </w:rPr>
        <w:t>the plaintiff’s</w:t>
      </w:r>
      <w:r w:rsidR="00202289">
        <w:rPr>
          <w:rFonts w:ascii="Bookman Old Style" w:hAnsi="Bookman Old Style"/>
        </w:rPr>
        <w:t xml:space="preserve"> </w:t>
      </w:r>
      <w:r w:rsidR="00E311D6">
        <w:rPr>
          <w:rFonts w:ascii="Bookman Old Style" w:hAnsi="Bookman Old Style"/>
        </w:rPr>
        <w:t>case</w:t>
      </w:r>
      <w:r w:rsidR="00B03E4B">
        <w:rPr>
          <w:rFonts w:ascii="Bookman Old Style" w:hAnsi="Bookman Old Style"/>
        </w:rPr>
        <w:t xml:space="preserve"> against it</w:t>
      </w:r>
      <w:r w:rsidR="00202289">
        <w:rPr>
          <w:rFonts w:ascii="Bookman Old Style" w:hAnsi="Bookman Old Style"/>
        </w:rPr>
        <w:t>; and</w:t>
      </w:r>
    </w:p>
    <w:p w:rsidR="00202289" w:rsidRPr="00664FA6" w:rsidRDefault="007C16C4" w:rsidP="000405C2">
      <w:pPr>
        <w:pStyle w:val="ListParagraph"/>
        <w:numPr>
          <w:ilvl w:val="1"/>
          <w:numId w:val="1"/>
        </w:numPr>
        <w:spacing w:line="480" w:lineRule="auto"/>
        <w:ind w:hanging="731"/>
        <w:jc w:val="both"/>
        <w:rPr>
          <w:rFonts w:ascii="Bookman Old Style" w:hAnsi="Bookman Old Style"/>
          <w:b/>
        </w:rPr>
      </w:pPr>
      <w:r>
        <w:rPr>
          <w:rFonts w:ascii="Bookman Old Style" w:hAnsi="Bookman Old Style"/>
        </w:rPr>
        <w:t>t</w:t>
      </w:r>
      <w:r w:rsidR="00202289">
        <w:rPr>
          <w:rFonts w:ascii="Bookman Old Style" w:hAnsi="Bookman Old Style"/>
        </w:rPr>
        <w:t>he defendant settles</w:t>
      </w:r>
      <w:r w:rsidR="009C4EED">
        <w:rPr>
          <w:rFonts w:ascii="Bookman Old Style" w:hAnsi="Bookman Old Style"/>
        </w:rPr>
        <w:t xml:space="preserve"> the plaintiff’s claim</w:t>
      </w:r>
      <w:r w:rsidR="00202289">
        <w:rPr>
          <w:rFonts w:ascii="Bookman Old Style" w:hAnsi="Bookman Old Style"/>
        </w:rPr>
        <w:t xml:space="preserve"> for a </w:t>
      </w:r>
      <w:r w:rsidR="00042C7F">
        <w:rPr>
          <w:rFonts w:ascii="Bookman Old Style" w:hAnsi="Bookman Old Style"/>
        </w:rPr>
        <w:t>sum</w:t>
      </w:r>
      <w:r w:rsidR="00202289">
        <w:rPr>
          <w:rFonts w:ascii="Bookman Old Style" w:hAnsi="Bookman Old Style"/>
        </w:rPr>
        <w:t xml:space="preserve"> ‘within the range’. </w:t>
      </w:r>
    </w:p>
    <w:p w:rsidR="00672459" w:rsidRDefault="00672459" w:rsidP="00664FA6">
      <w:pPr>
        <w:pStyle w:val="ListParagraph"/>
        <w:numPr>
          <w:ilvl w:val="0"/>
          <w:numId w:val="1"/>
        </w:numPr>
        <w:spacing w:line="480" w:lineRule="auto"/>
        <w:ind w:hanging="720"/>
        <w:jc w:val="both"/>
        <w:rPr>
          <w:rFonts w:ascii="Bookman Old Style" w:hAnsi="Bookman Old Style"/>
        </w:rPr>
      </w:pPr>
      <w:r>
        <w:rPr>
          <w:rFonts w:ascii="Bookman Old Style" w:hAnsi="Bookman Old Style"/>
        </w:rPr>
        <w:t>In practice, if two defendants</w:t>
      </w:r>
      <w:r w:rsidR="00B92353">
        <w:rPr>
          <w:rFonts w:ascii="Bookman Old Style" w:hAnsi="Bookman Old Style"/>
        </w:rPr>
        <w:t xml:space="preserve"> or a defendant and a </w:t>
      </w:r>
      <w:r w:rsidR="00FC20E9">
        <w:rPr>
          <w:rFonts w:ascii="Bookman Old Style" w:hAnsi="Bookman Old Style"/>
        </w:rPr>
        <w:t>third party</w:t>
      </w:r>
      <w:r>
        <w:rPr>
          <w:rFonts w:ascii="Bookman Old Style" w:hAnsi="Bookman Old Style"/>
        </w:rPr>
        <w:t xml:space="preserve"> cannot resolve contribution, but agree the plaintiff’s claim </w:t>
      </w:r>
      <w:r w:rsidR="00451341">
        <w:rPr>
          <w:rFonts w:ascii="Bookman Old Style" w:hAnsi="Bookman Old Style"/>
        </w:rPr>
        <w:t xml:space="preserve">should resolve, they will </w:t>
      </w:r>
      <w:r w:rsidR="00293200">
        <w:rPr>
          <w:rFonts w:ascii="Bookman Old Style" w:hAnsi="Bookman Old Style"/>
        </w:rPr>
        <w:t xml:space="preserve">often </w:t>
      </w:r>
      <w:r w:rsidR="00705282">
        <w:rPr>
          <w:rFonts w:ascii="Bookman Old Style" w:hAnsi="Bookman Old Style"/>
        </w:rPr>
        <w:t>agree</w:t>
      </w:r>
      <w:r w:rsidR="00450CF9">
        <w:rPr>
          <w:rFonts w:ascii="Bookman Old Style" w:hAnsi="Bookman Old Style"/>
        </w:rPr>
        <w:t xml:space="preserve"> </w:t>
      </w:r>
      <w:r w:rsidR="00E54ED3">
        <w:rPr>
          <w:rFonts w:ascii="Bookman Old Style" w:hAnsi="Bookman Old Style"/>
        </w:rPr>
        <w:t xml:space="preserve">that </w:t>
      </w:r>
      <w:r w:rsidR="00450CF9">
        <w:rPr>
          <w:rFonts w:ascii="Bookman Old Style" w:hAnsi="Bookman Old Style"/>
        </w:rPr>
        <w:t>the defendant settle with the plaintiff and agree</w:t>
      </w:r>
      <w:r w:rsidR="00705282">
        <w:rPr>
          <w:rFonts w:ascii="Bookman Old Style" w:hAnsi="Bookman Old Style"/>
        </w:rPr>
        <w:t xml:space="preserve"> the quantum of the settlement is reasonable</w:t>
      </w:r>
      <w:r w:rsidR="00F4735C">
        <w:rPr>
          <w:rFonts w:ascii="Bookman Old Style" w:hAnsi="Bookman Old Style"/>
        </w:rPr>
        <w:t xml:space="preserve">, narrowing the </w:t>
      </w:r>
      <w:r w:rsidR="00293200">
        <w:rPr>
          <w:rFonts w:ascii="Bookman Old Style" w:hAnsi="Bookman Old Style"/>
        </w:rPr>
        <w:t>ongoing dispute</w:t>
      </w:r>
      <w:r w:rsidR="00F4735C">
        <w:rPr>
          <w:rFonts w:ascii="Bookman Old Style" w:hAnsi="Bookman Old Style"/>
        </w:rPr>
        <w:t xml:space="preserve"> to contribution</w:t>
      </w:r>
      <w:r w:rsidR="00293200">
        <w:rPr>
          <w:rFonts w:ascii="Bookman Old Style" w:hAnsi="Bookman Old Style"/>
        </w:rPr>
        <w:t>/whether the third party is liable</w:t>
      </w:r>
      <w:r w:rsidR="00F4735C">
        <w:rPr>
          <w:rFonts w:ascii="Bookman Old Style" w:hAnsi="Bookman Old Style"/>
        </w:rPr>
        <w:t xml:space="preserve">. </w:t>
      </w:r>
      <w:r w:rsidR="0051588C">
        <w:rPr>
          <w:rFonts w:ascii="Bookman Old Style" w:hAnsi="Bookman Old Style"/>
        </w:rPr>
        <w:t xml:space="preserve"> This is sound practice. </w:t>
      </w:r>
    </w:p>
    <w:p w:rsidR="0026393E" w:rsidRDefault="004B102B" w:rsidP="0073607E">
      <w:pPr>
        <w:pStyle w:val="ListParagraph"/>
        <w:numPr>
          <w:ilvl w:val="0"/>
          <w:numId w:val="1"/>
        </w:numPr>
        <w:spacing w:line="480" w:lineRule="auto"/>
        <w:ind w:hanging="720"/>
        <w:jc w:val="both"/>
        <w:rPr>
          <w:rFonts w:ascii="Bookman Old Style" w:hAnsi="Bookman Old Style"/>
        </w:rPr>
      </w:pPr>
      <w:r>
        <w:rPr>
          <w:rFonts w:ascii="Bookman Old Style" w:hAnsi="Bookman Old Style"/>
        </w:rPr>
        <w:lastRenderedPageBreak/>
        <w:t>On occasion, a party will settle a claimant’s case before that claimant issues proceedings</w:t>
      </w:r>
      <w:r w:rsidR="00C155A8">
        <w:rPr>
          <w:rFonts w:ascii="Bookman Old Style" w:hAnsi="Bookman Old Style"/>
        </w:rPr>
        <w:t xml:space="preserve"> and</w:t>
      </w:r>
      <w:r w:rsidR="003934A3">
        <w:rPr>
          <w:rFonts w:ascii="Bookman Old Style" w:hAnsi="Bookman Old Style"/>
        </w:rPr>
        <w:t xml:space="preserve"> without first </w:t>
      </w:r>
      <w:r w:rsidR="00552A59">
        <w:rPr>
          <w:rFonts w:ascii="Bookman Old Style" w:hAnsi="Bookman Old Style"/>
        </w:rPr>
        <w:t xml:space="preserve">seeking or </w:t>
      </w:r>
      <w:r w:rsidR="00F33157">
        <w:rPr>
          <w:rFonts w:ascii="Bookman Old Style" w:hAnsi="Bookman Old Style"/>
        </w:rPr>
        <w:t>agreeing</w:t>
      </w:r>
      <w:r w:rsidR="003934A3">
        <w:rPr>
          <w:rFonts w:ascii="Bookman Old Style" w:hAnsi="Bookman Old Style"/>
        </w:rPr>
        <w:t xml:space="preserve"> contribution</w:t>
      </w:r>
      <w:r>
        <w:rPr>
          <w:rStyle w:val="FootnoteReference"/>
          <w:rFonts w:ascii="Bookman Old Style" w:hAnsi="Bookman Old Style"/>
        </w:rPr>
        <w:footnoteReference w:id="10"/>
      </w:r>
      <w:r>
        <w:rPr>
          <w:rFonts w:ascii="Bookman Old Style" w:hAnsi="Bookman Old Style"/>
        </w:rPr>
        <w:t xml:space="preserve">.  </w:t>
      </w:r>
    </w:p>
    <w:p w:rsidR="00801B79" w:rsidRDefault="00DD0BB0" w:rsidP="0073607E">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Such an approach may </w:t>
      </w:r>
      <w:r w:rsidR="005B4C26">
        <w:rPr>
          <w:rFonts w:ascii="Bookman Old Style" w:hAnsi="Bookman Old Style"/>
        </w:rPr>
        <w:t>be fraught with danger.</w:t>
      </w:r>
      <w:r w:rsidR="004B102B">
        <w:rPr>
          <w:rFonts w:ascii="Bookman Old Style" w:hAnsi="Bookman Old Style"/>
        </w:rPr>
        <w:t xml:space="preserve"> </w:t>
      </w:r>
      <w:r w:rsidR="0011057B">
        <w:rPr>
          <w:rFonts w:ascii="Bookman Old Style" w:hAnsi="Bookman Old Style"/>
        </w:rPr>
        <w:t xml:space="preserve"> </w:t>
      </w:r>
      <w:r w:rsidR="00983453">
        <w:rPr>
          <w:rFonts w:ascii="Bookman Old Style" w:hAnsi="Bookman Old Style"/>
        </w:rPr>
        <w:t>Fo</w:t>
      </w:r>
      <w:r w:rsidR="00A24977">
        <w:rPr>
          <w:rFonts w:ascii="Bookman Old Style" w:hAnsi="Bookman Old Style"/>
        </w:rPr>
        <w:t>r example, how would the party who settled with the claimant establish it was liable to the plaintiff</w:t>
      </w:r>
      <w:r w:rsidR="005923C6">
        <w:rPr>
          <w:rFonts w:ascii="Bookman Old Style" w:hAnsi="Bookman Old Style"/>
        </w:rPr>
        <w:t xml:space="preserve"> on the plaintiff’s case</w:t>
      </w:r>
      <w:r w:rsidR="00314933">
        <w:rPr>
          <w:rFonts w:ascii="Bookman Old Style" w:hAnsi="Bookman Old Style"/>
        </w:rPr>
        <w:t xml:space="preserve"> that has not been pleaded</w:t>
      </w:r>
      <w:r w:rsidR="00A24977">
        <w:rPr>
          <w:rFonts w:ascii="Bookman Old Style" w:hAnsi="Bookman Old Style"/>
        </w:rPr>
        <w:t>?</w:t>
      </w:r>
      <w:r w:rsidR="00584AB1">
        <w:rPr>
          <w:rFonts w:ascii="Bookman Old Style" w:hAnsi="Bookman Old Style"/>
        </w:rPr>
        <w:t xml:space="preserve"> </w:t>
      </w:r>
      <w:r w:rsidR="00801B79">
        <w:rPr>
          <w:rFonts w:ascii="Bookman Old Style" w:hAnsi="Bookman Old Style"/>
        </w:rPr>
        <w:t xml:space="preserve"> And further, how does it establish what it paid to the plaintiff was ‘within the range’?</w:t>
      </w:r>
      <w:r w:rsidR="00584AB1">
        <w:rPr>
          <w:rFonts w:ascii="Bookman Old Style" w:hAnsi="Bookman Old Style"/>
        </w:rPr>
        <w:t xml:space="preserve"> </w:t>
      </w:r>
      <w:r w:rsidR="0073607E">
        <w:rPr>
          <w:rFonts w:ascii="Bookman Old Style" w:hAnsi="Bookman Old Style"/>
        </w:rPr>
        <w:t xml:space="preserve"> </w:t>
      </w:r>
    </w:p>
    <w:p w:rsidR="004B102B" w:rsidRPr="0073607E" w:rsidRDefault="00584AB1" w:rsidP="0073607E">
      <w:pPr>
        <w:pStyle w:val="ListParagraph"/>
        <w:numPr>
          <w:ilvl w:val="0"/>
          <w:numId w:val="1"/>
        </w:numPr>
        <w:spacing w:line="480" w:lineRule="auto"/>
        <w:ind w:hanging="720"/>
        <w:jc w:val="both"/>
        <w:rPr>
          <w:rFonts w:ascii="Bookman Old Style" w:hAnsi="Bookman Old Style"/>
        </w:rPr>
      </w:pPr>
      <w:r w:rsidRPr="0073607E">
        <w:rPr>
          <w:rFonts w:ascii="Bookman Old Style" w:hAnsi="Bookman Old Style"/>
        </w:rPr>
        <w:t xml:space="preserve">It therefore seems preferable that </w:t>
      </w:r>
      <w:r w:rsidR="00960C15" w:rsidRPr="0073607E">
        <w:rPr>
          <w:rFonts w:ascii="Bookman Old Style" w:hAnsi="Bookman Old Style"/>
        </w:rPr>
        <w:t>the plaintiff’s claim be settled when proceedings are on foot</w:t>
      </w:r>
      <w:r w:rsidR="0098262E" w:rsidRPr="0073607E">
        <w:rPr>
          <w:rFonts w:ascii="Bookman Old Style" w:hAnsi="Bookman Old Style"/>
        </w:rPr>
        <w:t>, not before</w:t>
      </w:r>
      <w:r w:rsidR="00D671BB" w:rsidRPr="0073607E">
        <w:rPr>
          <w:rFonts w:ascii="Bookman Old Style" w:hAnsi="Bookman Old Style"/>
        </w:rPr>
        <w:t xml:space="preserve">, and preferably adopting the approach noted in paragraph </w:t>
      </w:r>
      <w:r w:rsidR="00542E17">
        <w:rPr>
          <w:rFonts w:ascii="Bookman Old Style" w:hAnsi="Bookman Old Style"/>
        </w:rPr>
        <w:t>1</w:t>
      </w:r>
      <w:r w:rsidR="006B336D">
        <w:rPr>
          <w:rFonts w:ascii="Bookman Old Style" w:hAnsi="Bookman Old Style"/>
        </w:rPr>
        <w:t>4</w:t>
      </w:r>
      <w:r w:rsidR="00283D0A">
        <w:rPr>
          <w:rFonts w:ascii="Bookman Old Style" w:hAnsi="Bookman Old Style"/>
        </w:rPr>
        <w:t xml:space="preserve"> above</w:t>
      </w:r>
      <w:r w:rsidRPr="0073607E">
        <w:rPr>
          <w:rFonts w:ascii="Bookman Old Style" w:hAnsi="Bookman Old Style"/>
        </w:rPr>
        <w:t xml:space="preserve">. </w:t>
      </w:r>
    </w:p>
    <w:p w:rsidR="00270A6B" w:rsidRDefault="00270A6B" w:rsidP="00664FA6">
      <w:pPr>
        <w:spacing w:line="480" w:lineRule="auto"/>
        <w:jc w:val="both"/>
        <w:rPr>
          <w:rFonts w:ascii="Bookman Old Style" w:hAnsi="Bookman Old Style"/>
          <w:b/>
        </w:rPr>
      </w:pPr>
      <w:r>
        <w:rPr>
          <w:rFonts w:ascii="Bookman Old Style" w:hAnsi="Bookman Old Style"/>
          <w:b/>
        </w:rPr>
        <w:t>Does “same damage” mean same cause of action?</w:t>
      </w:r>
    </w:p>
    <w:p w:rsidR="00270A6B" w:rsidRPr="00270A6B" w:rsidRDefault="007C16C4" w:rsidP="00270A6B">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As noted, </w:t>
      </w:r>
      <w:r w:rsidR="00A1422E">
        <w:rPr>
          <w:rFonts w:ascii="Bookman Old Style" w:hAnsi="Bookman Old Style"/>
        </w:rPr>
        <w:t xml:space="preserve">section </w:t>
      </w:r>
      <w:proofErr w:type="spellStart"/>
      <w:r w:rsidR="00A1422E">
        <w:rPr>
          <w:rFonts w:ascii="Bookman Old Style" w:hAnsi="Bookman Old Style"/>
        </w:rPr>
        <w:t>23B</w:t>
      </w:r>
      <w:proofErr w:type="spellEnd"/>
      <w:r w:rsidR="00A1422E">
        <w:rPr>
          <w:rFonts w:ascii="Bookman Old Style" w:hAnsi="Bookman Old Style"/>
        </w:rPr>
        <w:t xml:space="preserve"> requires that the second party from whom contribution is sought be liable “</w:t>
      </w:r>
      <w:r w:rsidR="00A1422E">
        <w:rPr>
          <w:rFonts w:ascii="Bookman Old Style" w:hAnsi="Bookman Old Style"/>
          <w:i/>
        </w:rPr>
        <w:t>…</w:t>
      </w:r>
      <w:r w:rsidR="00A1422E" w:rsidRPr="001730D4">
        <w:rPr>
          <w:rFonts w:ascii="Bookman Old Style" w:hAnsi="Bookman Old Style"/>
          <w:i/>
        </w:rPr>
        <w:t>in respect of the same damage</w:t>
      </w:r>
      <w:r w:rsidR="00A1422E">
        <w:rPr>
          <w:rFonts w:ascii="Bookman Old Style" w:hAnsi="Bookman Old Style"/>
        </w:rPr>
        <w:t xml:space="preserve">”.  </w:t>
      </w:r>
      <w:r w:rsidR="00270A6B">
        <w:rPr>
          <w:rFonts w:ascii="Bookman Old Style" w:hAnsi="Bookman Old Style"/>
        </w:rPr>
        <w:t>The phrase “</w:t>
      </w:r>
      <w:r w:rsidR="00270A6B">
        <w:rPr>
          <w:rFonts w:ascii="Bookman Old Style" w:hAnsi="Bookman Old Style"/>
          <w:i/>
        </w:rPr>
        <w:t>same damage</w:t>
      </w:r>
      <w:r w:rsidR="00270A6B">
        <w:rPr>
          <w:rFonts w:ascii="Bookman Old Style" w:hAnsi="Bookman Old Style"/>
        </w:rPr>
        <w:t>” is not confined to damage for the same cause of action</w:t>
      </w:r>
      <w:r w:rsidR="005C163E">
        <w:rPr>
          <w:rFonts w:ascii="Bookman Old Style" w:hAnsi="Bookman Old Style"/>
        </w:rPr>
        <w:t xml:space="preserve">, but goes to the </w:t>
      </w:r>
      <w:r w:rsidR="008D02A1">
        <w:rPr>
          <w:rFonts w:ascii="Bookman Old Style" w:hAnsi="Bookman Old Style"/>
        </w:rPr>
        <w:t>“</w:t>
      </w:r>
      <w:r w:rsidR="003758B7" w:rsidRPr="008D02A1">
        <w:rPr>
          <w:rFonts w:ascii="Bookman Old Style" w:hAnsi="Bookman Old Style"/>
          <w:i/>
        </w:rPr>
        <w:t>loss</w:t>
      </w:r>
      <w:r w:rsidR="008D02A1">
        <w:rPr>
          <w:rFonts w:ascii="Bookman Old Style" w:hAnsi="Bookman Old Style"/>
        </w:rPr>
        <w:t>”</w:t>
      </w:r>
      <w:r w:rsidR="005C163E">
        <w:rPr>
          <w:rFonts w:ascii="Bookman Old Style" w:hAnsi="Bookman Old Style"/>
        </w:rPr>
        <w:t xml:space="preserve"> the plaintiff suffered</w:t>
      </w:r>
      <w:r w:rsidR="00270A6B">
        <w:rPr>
          <w:rStyle w:val="FootnoteReference"/>
          <w:rFonts w:ascii="Bookman Old Style" w:hAnsi="Bookman Old Style"/>
        </w:rPr>
        <w:footnoteReference w:id="11"/>
      </w:r>
      <w:r w:rsidR="00270A6B">
        <w:rPr>
          <w:rFonts w:ascii="Bookman Old Style" w:hAnsi="Bookman Old Style"/>
        </w:rPr>
        <w:t xml:space="preserve">.  </w:t>
      </w:r>
    </w:p>
    <w:p w:rsidR="0001414D" w:rsidRPr="00962AA8" w:rsidRDefault="00801B79" w:rsidP="0001414D">
      <w:pPr>
        <w:pStyle w:val="ListParagraph"/>
        <w:numPr>
          <w:ilvl w:val="0"/>
          <w:numId w:val="1"/>
        </w:numPr>
        <w:spacing w:line="480" w:lineRule="auto"/>
        <w:ind w:hanging="720"/>
        <w:jc w:val="both"/>
        <w:rPr>
          <w:rFonts w:ascii="Bookman Old Style" w:hAnsi="Bookman Old Style"/>
          <w:b/>
        </w:rPr>
      </w:pPr>
      <w:r>
        <w:rPr>
          <w:rFonts w:ascii="Bookman Old Style" w:hAnsi="Bookman Old Style"/>
        </w:rPr>
        <w:t>In other words, p</w:t>
      </w:r>
      <w:r w:rsidR="0001414D">
        <w:rPr>
          <w:rFonts w:ascii="Bookman Old Style" w:hAnsi="Bookman Old Style"/>
        </w:rPr>
        <w:t xml:space="preserve">rovided both defendants could be, or were held to be, liable </w:t>
      </w:r>
      <w:r w:rsidR="002206DA">
        <w:rPr>
          <w:rFonts w:ascii="Bookman Old Style" w:hAnsi="Bookman Old Style"/>
        </w:rPr>
        <w:t xml:space="preserve">to the plaintiff </w:t>
      </w:r>
      <w:r w:rsidR="00D82E69">
        <w:rPr>
          <w:rFonts w:ascii="Bookman Old Style" w:hAnsi="Bookman Old Style"/>
        </w:rPr>
        <w:t xml:space="preserve">(or claimant) </w:t>
      </w:r>
      <w:r w:rsidR="00A936AD">
        <w:rPr>
          <w:rFonts w:ascii="Bookman Old Style" w:hAnsi="Bookman Old Style"/>
        </w:rPr>
        <w:t>for</w:t>
      </w:r>
      <w:r w:rsidR="0001414D">
        <w:rPr>
          <w:rFonts w:ascii="Bookman Old Style" w:hAnsi="Bookman Old Style"/>
        </w:rPr>
        <w:t xml:space="preserve"> the plaintiff</w:t>
      </w:r>
      <w:r w:rsidR="00A936AD">
        <w:rPr>
          <w:rFonts w:ascii="Bookman Old Style" w:hAnsi="Bookman Old Style"/>
        </w:rPr>
        <w:t>’s loss</w:t>
      </w:r>
      <w:r w:rsidR="0001414D">
        <w:rPr>
          <w:rFonts w:ascii="Bookman Old Style" w:hAnsi="Bookman Old Style"/>
        </w:rPr>
        <w:t>, either defendant may seek contribution against the other</w:t>
      </w:r>
      <w:r w:rsidR="00283D0A">
        <w:rPr>
          <w:rFonts w:ascii="Bookman Old Style" w:hAnsi="Bookman Old Style"/>
        </w:rPr>
        <w:t xml:space="preserve"> (or a defendant against a third party)</w:t>
      </w:r>
      <w:r w:rsidR="0001414D">
        <w:rPr>
          <w:rFonts w:ascii="Bookman Old Style" w:hAnsi="Bookman Old Style"/>
        </w:rPr>
        <w:t xml:space="preserve">.  </w:t>
      </w:r>
    </w:p>
    <w:p w:rsidR="00B1346C" w:rsidRPr="00B1346C" w:rsidRDefault="00270A6B" w:rsidP="00270A6B">
      <w:pPr>
        <w:pStyle w:val="ListParagraph"/>
        <w:numPr>
          <w:ilvl w:val="0"/>
          <w:numId w:val="1"/>
        </w:numPr>
        <w:spacing w:line="480" w:lineRule="auto"/>
        <w:ind w:hanging="720"/>
        <w:jc w:val="both"/>
        <w:rPr>
          <w:rFonts w:ascii="Bookman Old Style" w:hAnsi="Bookman Old Style"/>
          <w:b/>
        </w:rPr>
      </w:pPr>
      <w:r>
        <w:rPr>
          <w:rFonts w:ascii="Bookman Old Style" w:hAnsi="Bookman Old Style"/>
        </w:rPr>
        <w:lastRenderedPageBreak/>
        <w:t xml:space="preserve">For example, </w:t>
      </w:r>
      <w:r w:rsidR="005B48D8">
        <w:rPr>
          <w:rFonts w:ascii="Bookman Old Style" w:hAnsi="Bookman Old Style"/>
        </w:rPr>
        <w:t>the defendant</w:t>
      </w:r>
      <w:r w:rsidR="00393BBC">
        <w:rPr>
          <w:rFonts w:ascii="Bookman Old Style" w:hAnsi="Bookman Old Style"/>
        </w:rPr>
        <w:t xml:space="preserve"> may be liable to the p</w:t>
      </w:r>
      <w:r>
        <w:rPr>
          <w:rFonts w:ascii="Bookman Old Style" w:hAnsi="Bookman Old Style"/>
        </w:rPr>
        <w:t xml:space="preserve">laintiff </w:t>
      </w:r>
      <w:r w:rsidR="00EE232C">
        <w:rPr>
          <w:rFonts w:ascii="Bookman Old Style" w:hAnsi="Bookman Old Style"/>
        </w:rPr>
        <w:t>in contract for supplying faulty goods</w:t>
      </w:r>
      <w:r>
        <w:rPr>
          <w:rFonts w:ascii="Bookman Old Style" w:hAnsi="Bookman Old Style"/>
        </w:rPr>
        <w:t xml:space="preserve">.  </w:t>
      </w:r>
      <w:r w:rsidR="00393BBC">
        <w:rPr>
          <w:rFonts w:ascii="Bookman Old Style" w:hAnsi="Bookman Old Style"/>
        </w:rPr>
        <w:t xml:space="preserve">The third party was not privy to that contract, but may be liable to the plaintiff for breach of statutory duties under the </w:t>
      </w:r>
      <w:r w:rsidR="00393BBC">
        <w:rPr>
          <w:rFonts w:ascii="Bookman Old Style" w:hAnsi="Bookman Old Style"/>
          <w:i/>
        </w:rPr>
        <w:t>Australian Consumer law</w:t>
      </w:r>
      <w:r w:rsidR="00393BBC">
        <w:rPr>
          <w:rFonts w:ascii="Bookman Old Style" w:hAnsi="Bookman Old Style"/>
        </w:rPr>
        <w:t xml:space="preserve"> as a manufacturer of the faulty goods</w:t>
      </w:r>
      <w:r>
        <w:rPr>
          <w:rFonts w:ascii="Bookman Old Style" w:hAnsi="Bookman Old Style"/>
        </w:rPr>
        <w:t xml:space="preserve">.  </w:t>
      </w:r>
      <w:r w:rsidR="00D60098">
        <w:rPr>
          <w:rFonts w:ascii="Bookman Old Style" w:hAnsi="Bookman Old Style"/>
        </w:rPr>
        <w:t xml:space="preserve"> The plaintiff may consider that it has a watertight claim against the supplier</w:t>
      </w:r>
      <w:r w:rsidR="00E04176">
        <w:rPr>
          <w:rFonts w:ascii="Bookman Old Style" w:hAnsi="Bookman Old Style"/>
        </w:rPr>
        <w:t>, choosing not to sue the manufacturer.</w:t>
      </w:r>
      <w:r w:rsidR="00B44490">
        <w:rPr>
          <w:rFonts w:ascii="Bookman Old Style" w:hAnsi="Bookman Old Style"/>
        </w:rPr>
        <w:t xml:space="preserve"> </w:t>
      </w:r>
      <w:r>
        <w:rPr>
          <w:rFonts w:ascii="Bookman Old Style" w:hAnsi="Bookman Old Style"/>
        </w:rPr>
        <w:t xml:space="preserve"> </w:t>
      </w:r>
      <w:r w:rsidR="00934ACF">
        <w:rPr>
          <w:rFonts w:ascii="Bookman Old Style" w:hAnsi="Bookman Old Style"/>
        </w:rPr>
        <w:t xml:space="preserve">It matters not. </w:t>
      </w:r>
      <w:r w:rsidR="00F253B8">
        <w:rPr>
          <w:rFonts w:ascii="Bookman Old Style" w:hAnsi="Bookman Old Style"/>
        </w:rPr>
        <w:t xml:space="preserve"> </w:t>
      </w:r>
      <w:r w:rsidR="00B93B99">
        <w:rPr>
          <w:rFonts w:ascii="Bookman Old Style" w:hAnsi="Bookman Old Style"/>
        </w:rPr>
        <w:t xml:space="preserve">Both may be liable to the </w:t>
      </w:r>
      <w:r w:rsidR="00D42534">
        <w:rPr>
          <w:rFonts w:ascii="Bookman Old Style" w:hAnsi="Bookman Old Style"/>
        </w:rPr>
        <w:t xml:space="preserve">plaintiff, paving the way for the defendant to seek </w:t>
      </w:r>
      <w:r w:rsidR="00D60098">
        <w:rPr>
          <w:rFonts w:ascii="Bookman Old Style" w:hAnsi="Bookman Old Style"/>
        </w:rPr>
        <w:t>contribution</w:t>
      </w:r>
      <w:r w:rsidR="00B44490">
        <w:rPr>
          <w:rFonts w:ascii="Bookman Old Style" w:hAnsi="Bookman Old Style"/>
        </w:rPr>
        <w:t xml:space="preserve"> by joining the manufacturer as a third party</w:t>
      </w:r>
      <w:r w:rsidR="00D42534">
        <w:rPr>
          <w:rFonts w:ascii="Bookman Old Style" w:hAnsi="Bookman Old Style"/>
        </w:rPr>
        <w:t>.</w:t>
      </w:r>
      <w:r w:rsidR="000B32E2">
        <w:rPr>
          <w:rFonts w:ascii="Bookman Old Style" w:hAnsi="Bookman Old Style"/>
        </w:rPr>
        <w:t xml:space="preserve">  </w:t>
      </w:r>
    </w:p>
    <w:p w:rsidR="007471E3" w:rsidRPr="007471E3" w:rsidRDefault="00B1346C" w:rsidP="00270A6B">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The supplier may also have a separate claim against the manufacturer under a contract between them that the manufacturer indemnify the supplier </w:t>
      </w:r>
      <w:r w:rsidR="0026393E">
        <w:rPr>
          <w:rFonts w:ascii="Bookman Old Style" w:hAnsi="Bookman Old Style"/>
        </w:rPr>
        <w:t>for</w:t>
      </w:r>
      <w:r>
        <w:rPr>
          <w:rFonts w:ascii="Bookman Old Style" w:hAnsi="Bookman Old Style"/>
        </w:rPr>
        <w:t xml:space="preserve"> </w:t>
      </w:r>
      <w:r w:rsidR="00470AB7">
        <w:rPr>
          <w:rFonts w:ascii="Bookman Old Style" w:hAnsi="Bookman Old Style"/>
        </w:rPr>
        <w:t xml:space="preserve">any </w:t>
      </w:r>
      <w:r w:rsidR="00B41782">
        <w:rPr>
          <w:rFonts w:ascii="Bookman Old Style" w:hAnsi="Bookman Old Style"/>
        </w:rPr>
        <w:t xml:space="preserve">loss arising from its </w:t>
      </w:r>
      <w:r>
        <w:rPr>
          <w:rFonts w:ascii="Bookman Old Style" w:hAnsi="Bookman Old Style"/>
        </w:rPr>
        <w:t xml:space="preserve">faulty goods.  </w:t>
      </w:r>
      <w:r w:rsidR="00EE051B">
        <w:rPr>
          <w:rFonts w:ascii="Bookman Old Style" w:hAnsi="Bookman Old Style"/>
        </w:rPr>
        <w:t>In its third party claim against the manufacturer, t</w:t>
      </w:r>
      <w:r w:rsidR="00197FE6">
        <w:rPr>
          <w:rFonts w:ascii="Bookman Old Style" w:hAnsi="Bookman Old Style"/>
        </w:rPr>
        <w:t>he supplier would seek a complete</w:t>
      </w:r>
      <w:r w:rsidR="002D6153">
        <w:rPr>
          <w:rFonts w:ascii="Bookman Old Style" w:hAnsi="Bookman Old Style"/>
        </w:rPr>
        <w:t xml:space="preserve"> </w:t>
      </w:r>
      <w:r w:rsidR="00005115">
        <w:rPr>
          <w:rFonts w:ascii="Bookman Old Style" w:hAnsi="Bookman Old Style"/>
        </w:rPr>
        <w:t xml:space="preserve">indemnity </w:t>
      </w:r>
      <w:r w:rsidR="009102C4">
        <w:rPr>
          <w:rFonts w:ascii="Bookman Old Style" w:hAnsi="Bookman Old Style"/>
        </w:rPr>
        <w:t xml:space="preserve">from the manufacturer </w:t>
      </w:r>
      <w:r w:rsidR="002907AC">
        <w:rPr>
          <w:rFonts w:ascii="Bookman Old Style" w:hAnsi="Bookman Old Style"/>
        </w:rPr>
        <w:t>to any liability</w:t>
      </w:r>
      <w:r w:rsidR="00A81A7B">
        <w:rPr>
          <w:rFonts w:ascii="Bookman Old Style" w:hAnsi="Bookman Old Style"/>
        </w:rPr>
        <w:t xml:space="preserve"> it has</w:t>
      </w:r>
      <w:r w:rsidR="002907AC">
        <w:rPr>
          <w:rFonts w:ascii="Bookman Old Style" w:hAnsi="Bookman Old Style"/>
        </w:rPr>
        <w:t xml:space="preserve"> to the plaintiff </w:t>
      </w:r>
      <w:r w:rsidR="002D6153">
        <w:rPr>
          <w:rFonts w:ascii="Bookman Old Style" w:hAnsi="Bookman Old Style"/>
        </w:rPr>
        <w:t xml:space="preserve">and then </w:t>
      </w:r>
      <w:r w:rsidR="00801B79">
        <w:rPr>
          <w:rFonts w:ascii="Bookman Old Style" w:hAnsi="Bookman Old Style"/>
        </w:rPr>
        <w:t xml:space="preserve">seek </w:t>
      </w:r>
      <w:r w:rsidR="002D6153">
        <w:rPr>
          <w:rFonts w:ascii="Bookman Old Style" w:hAnsi="Bookman Old Style"/>
        </w:rPr>
        <w:t xml:space="preserve">contribution as an alternative.  </w:t>
      </w:r>
      <w:r w:rsidR="009102C4">
        <w:rPr>
          <w:rFonts w:ascii="Bookman Old Style" w:hAnsi="Bookman Old Style"/>
        </w:rPr>
        <w:t xml:space="preserve"> </w:t>
      </w:r>
    </w:p>
    <w:p w:rsidR="00AF52DB" w:rsidRPr="00AF52DB" w:rsidRDefault="00AC74FA" w:rsidP="00270A6B">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It is worth adding that, if the defendant seeks both a contractual indemnity and alternatively contribution, </w:t>
      </w:r>
      <w:r w:rsidR="00132172">
        <w:rPr>
          <w:rFonts w:ascii="Bookman Old Style" w:hAnsi="Bookman Old Style"/>
        </w:rPr>
        <w:t xml:space="preserve">those claims must be brought at the same time. </w:t>
      </w:r>
      <w:r w:rsidR="0011458A">
        <w:rPr>
          <w:rFonts w:ascii="Bookman Old Style" w:hAnsi="Bookman Old Style"/>
        </w:rPr>
        <w:t xml:space="preserve"> </w:t>
      </w:r>
    </w:p>
    <w:p w:rsidR="00270A6B" w:rsidRPr="00270A6B" w:rsidRDefault="0011458A" w:rsidP="00270A6B">
      <w:pPr>
        <w:pStyle w:val="ListParagraph"/>
        <w:numPr>
          <w:ilvl w:val="0"/>
          <w:numId w:val="1"/>
        </w:numPr>
        <w:spacing w:line="480" w:lineRule="auto"/>
        <w:ind w:hanging="720"/>
        <w:jc w:val="both"/>
        <w:rPr>
          <w:rFonts w:ascii="Bookman Old Style" w:hAnsi="Bookman Old Style"/>
          <w:b/>
        </w:rPr>
      </w:pPr>
      <w:r>
        <w:rPr>
          <w:rFonts w:ascii="Bookman Old Style" w:hAnsi="Bookman Old Style"/>
        </w:rPr>
        <w:t xml:space="preserve">In </w:t>
      </w:r>
      <w:r w:rsidRPr="0011458A">
        <w:rPr>
          <w:rFonts w:ascii="Bookman Old Style" w:hAnsi="Bookman Old Style"/>
          <w:i/>
        </w:rPr>
        <w:t>Port of Melbourne Authority v Anshun</w:t>
      </w:r>
      <w:r w:rsidRPr="0011458A">
        <w:rPr>
          <w:rFonts w:ascii="Bookman Old Style" w:hAnsi="Bookman Old Style"/>
        </w:rPr>
        <w:t xml:space="preserve"> Pty Ltd</w:t>
      </w:r>
      <w:r>
        <w:rPr>
          <w:rStyle w:val="FootnoteReference"/>
          <w:rFonts w:ascii="Bookman Old Style" w:hAnsi="Bookman Old Style"/>
        </w:rPr>
        <w:footnoteReference w:id="12"/>
      </w:r>
      <w:r>
        <w:rPr>
          <w:rFonts w:ascii="Bookman Old Style" w:hAnsi="Bookman Old Style"/>
        </w:rPr>
        <w:t>, the Authority and Anshun served contribution notices on each other during the plaintiff’s case.  The Authority was held to contribute 90% to the plaintiff’</w:t>
      </w:r>
      <w:r w:rsidR="00806635">
        <w:rPr>
          <w:rFonts w:ascii="Bookman Old Style" w:hAnsi="Bookman Old Style"/>
        </w:rPr>
        <w:t xml:space="preserve">s claim, Anshun 10%.  </w:t>
      </w:r>
      <w:r w:rsidR="00AF52DB">
        <w:rPr>
          <w:rFonts w:ascii="Bookman Old Style" w:hAnsi="Bookman Old Style"/>
        </w:rPr>
        <w:t>In later proceedings</w:t>
      </w:r>
      <w:r>
        <w:rPr>
          <w:rFonts w:ascii="Bookman Old Style" w:hAnsi="Bookman Old Style"/>
        </w:rPr>
        <w:t xml:space="preserve">, the Authority </w:t>
      </w:r>
      <w:r w:rsidR="00427F56">
        <w:rPr>
          <w:rFonts w:ascii="Bookman Old Style" w:hAnsi="Bookman Old Style"/>
        </w:rPr>
        <w:t>sought to rely on a</w:t>
      </w:r>
      <w:r>
        <w:rPr>
          <w:rFonts w:ascii="Bookman Old Style" w:hAnsi="Bookman Old Style"/>
        </w:rPr>
        <w:t xml:space="preserve"> </w:t>
      </w:r>
      <w:r w:rsidR="00427F56">
        <w:rPr>
          <w:rFonts w:ascii="Bookman Old Style" w:hAnsi="Bookman Old Style"/>
        </w:rPr>
        <w:t xml:space="preserve">contractual </w:t>
      </w:r>
      <w:r>
        <w:rPr>
          <w:rFonts w:ascii="Bookman Old Style" w:hAnsi="Bookman Old Style"/>
        </w:rPr>
        <w:t>indemnity</w:t>
      </w:r>
      <w:r w:rsidR="00427F56">
        <w:rPr>
          <w:rFonts w:ascii="Bookman Old Style" w:hAnsi="Bookman Old Style"/>
        </w:rPr>
        <w:t xml:space="preserve"> to recover all of </w:t>
      </w:r>
      <w:r w:rsidR="000E59EC">
        <w:rPr>
          <w:rFonts w:ascii="Bookman Old Style" w:hAnsi="Bookman Old Style"/>
        </w:rPr>
        <w:t>the</w:t>
      </w:r>
      <w:r w:rsidR="00427F56">
        <w:rPr>
          <w:rFonts w:ascii="Bookman Old Style" w:hAnsi="Bookman Old Style"/>
        </w:rPr>
        <w:t xml:space="preserve"> </w:t>
      </w:r>
      <w:r w:rsidR="00FB234C">
        <w:rPr>
          <w:rFonts w:ascii="Bookman Old Style" w:hAnsi="Bookman Old Style"/>
        </w:rPr>
        <w:t>damages paid</w:t>
      </w:r>
      <w:r w:rsidR="00427F56">
        <w:rPr>
          <w:rFonts w:ascii="Bookman Old Style" w:hAnsi="Bookman Old Style"/>
        </w:rPr>
        <w:t xml:space="preserve"> to the plaintiff.  The High Court said that</w:t>
      </w:r>
      <w:r w:rsidR="00123D54">
        <w:rPr>
          <w:rFonts w:ascii="Bookman Old Style" w:hAnsi="Bookman Old Style"/>
        </w:rPr>
        <w:t xml:space="preserve"> the Authority was obliged to raise its claim for the contractual indemnity against Anshun at the same time as its contribution claim under the </w:t>
      </w:r>
      <w:r w:rsidR="00123D54">
        <w:rPr>
          <w:rFonts w:ascii="Bookman Old Style" w:hAnsi="Bookman Old Style"/>
          <w:i/>
        </w:rPr>
        <w:t>Wrongs Act</w:t>
      </w:r>
      <w:r w:rsidR="00937C2C">
        <w:rPr>
          <w:rFonts w:ascii="Bookman Old Style" w:hAnsi="Bookman Old Style"/>
        </w:rPr>
        <w:t xml:space="preserve"> and </w:t>
      </w:r>
      <w:r w:rsidR="00937C2C">
        <w:rPr>
          <w:rFonts w:ascii="Bookman Old Style" w:hAnsi="Bookman Old Style"/>
        </w:rPr>
        <w:lastRenderedPageBreak/>
        <w:t>was</w:t>
      </w:r>
      <w:r w:rsidR="0006754C">
        <w:rPr>
          <w:rFonts w:ascii="Bookman Old Style" w:hAnsi="Bookman Old Style"/>
        </w:rPr>
        <w:t>,</w:t>
      </w:r>
      <w:r w:rsidR="00937C2C">
        <w:rPr>
          <w:rFonts w:ascii="Bookman Old Style" w:hAnsi="Bookman Old Style"/>
        </w:rPr>
        <w:t xml:space="preserve"> therefore</w:t>
      </w:r>
      <w:r w:rsidR="0006754C">
        <w:rPr>
          <w:rFonts w:ascii="Bookman Old Style" w:hAnsi="Bookman Old Style"/>
        </w:rPr>
        <w:t>,</w:t>
      </w:r>
      <w:r w:rsidR="00937C2C">
        <w:rPr>
          <w:rFonts w:ascii="Bookman Old Style" w:hAnsi="Bookman Old Style"/>
        </w:rPr>
        <w:t xml:space="preserve"> estopped from bringing this second claim;</w:t>
      </w:r>
      <w:r w:rsidR="00123D54">
        <w:rPr>
          <w:rFonts w:ascii="Bookman Old Style" w:hAnsi="Bookman Old Style"/>
        </w:rPr>
        <w:t xml:space="preserve"> hence the name ‘</w:t>
      </w:r>
      <w:r w:rsidR="00123D54">
        <w:rPr>
          <w:rFonts w:ascii="Bookman Old Style" w:hAnsi="Bookman Old Style"/>
          <w:i/>
        </w:rPr>
        <w:t>Anshun estoppel</w:t>
      </w:r>
      <w:r w:rsidR="00123D54">
        <w:rPr>
          <w:rFonts w:ascii="Bookman Old Style" w:hAnsi="Bookman Old Style"/>
        </w:rPr>
        <w:t xml:space="preserve">’. </w:t>
      </w:r>
      <w:r>
        <w:rPr>
          <w:rFonts w:ascii="Bookman Old Style" w:hAnsi="Bookman Old Style"/>
        </w:rPr>
        <w:t xml:space="preserve"> </w:t>
      </w:r>
    </w:p>
    <w:p w:rsidR="00664FA6" w:rsidRPr="000E59A8" w:rsidRDefault="000E59A8" w:rsidP="00664FA6">
      <w:pPr>
        <w:spacing w:line="480" w:lineRule="auto"/>
        <w:jc w:val="both"/>
        <w:rPr>
          <w:rFonts w:ascii="Bookman Old Style" w:hAnsi="Bookman Old Style"/>
          <w:b/>
        </w:rPr>
      </w:pPr>
      <w:r>
        <w:rPr>
          <w:rFonts w:ascii="Bookman Old Style" w:hAnsi="Bookman Old Style"/>
          <w:b/>
        </w:rPr>
        <w:t xml:space="preserve">How does a </w:t>
      </w:r>
      <w:r w:rsidR="004B1709">
        <w:rPr>
          <w:rFonts w:ascii="Bookman Old Style" w:hAnsi="Bookman Old Style"/>
          <w:b/>
        </w:rPr>
        <w:t>d</w:t>
      </w:r>
      <w:r>
        <w:rPr>
          <w:rFonts w:ascii="Bookman Old Style" w:hAnsi="Bookman Old Style"/>
          <w:b/>
        </w:rPr>
        <w:t>efendant seek contribution?</w:t>
      </w:r>
    </w:p>
    <w:p w:rsidR="00543CB7" w:rsidRDefault="003F726E" w:rsidP="004811B4">
      <w:pPr>
        <w:pStyle w:val="ListParagraph"/>
        <w:numPr>
          <w:ilvl w:val="0"/>
          <w:numId w:val="1"/>
        </w:numPr>
        <w:spacing w:line="480" w:lineRule="auto"/>
        <w:ind w:hanging="720"/>
        <w:jc w:val="both"/>
        <w:rPr>
          <w:rFonts w:ascii="Bookman Old Style" w:hAnsi="Bookman Old Style"/>
        </w:rPr>
      </w:pPr>
      <w:r w:rsidRPr="003F726E">
        <w:rPr>
          <w:rFonts w:ascii="Bookman Old Style" w:hAnsi="Bookman Old Style"/>
        </w:rPr>
        <w:t>Although it is</w:t>
      </w:r>
      <w:r w:rsidR="0031199D">
        <w:rPr>
          <w:rFonts w:ascii="Bookman Old Style" w:hAnsi="Bookman Old Style"/>
        </w:rPr>
        <w:t xml:space="preserve"> </w:t>
      </w:r>
      <w:r w:rsidR="00514F65">
        <w:rPr>
          <w:rFonts w:ascii="Bookman Old Style" w:hAnsi="Bookman Old Style"/>
        </w:rPr>
        <w:t>the</w:t>
      </w:r>
      <w:r w:rsidR="00514F65">
        <w:rPr>
          <w:rFonts w:ascii="Bookman Old Style" w:hAnsi="Bookman Old Style"/>
          <w:i/>
        </w:rPr>
        <w:t xml:space="preserve"> Wrongs</w:t>
      </w:r>
      <w:r>
        <w:rPr>
          <w:rFonts w:ascii="Bookman Old Style" w:hAnsi="Bookman Old Style"/>
          <w:i/>
        </w:rPr>
        <w:t xml:space="preserve"> Act </w:t>
      </w:r>
      <w:r>
        <w:rPr>
          <w:rFonts w:ascii="Bookman Old Style" w:hAnsi="Bookman Old Style"/>
        </w:rPr>
        <w:t xml:space="preserve">that enlivens </w:t>
      </w:r>
      <w:r w:rsidR="00B44C75">
        <w:rPr>
          <w:rFonts w:ascii="Bookman Old Style" w:hAnsi="Bookman Old Style"/>
        </w:rPr>
        <w:t xml:space="preserve">an entitlement to seek </w:t>
      </w:r>
      <w:r w:rsidR="005F1C39">
        <w:rPr>
          <w:rFonts w:ascii="Bookman Old Style" w:hAnsi="Bookman Old Style"/>
        </w:rPr>
        <w:t>contribution</w:t>
      </w:r>
      <w:r w:rsidR="00B44C75">
        <w:rPr>
          <w:rFonts w:ascii="Bookman Old Style" w:hAnsi="Bookman Old Style"/>
        </w:rPr>
        <w:t xml:space="preserve">, </w:t>
      </w:r>
      <w:r w:rsidR="00DB4501">
        <w:rPr>
          <w:rFonts w:ascii="Bookman Old Style" w:hAnsi="Bookman Old Style"/>
        </w:rPr>
        <w:t xml:space="preserve">it is Order 11 of the </w:t>
      </w:r>
      <w:r w:rsidR="009C7D83">
        <w:rPr>
          <w:rFonts w:ascii="Bookman Old Style" w:hAnsi="Bookman Old Style"/>
          <w:i/>
        </w:rPr>
        <w:t xml:space="preserve">Rules of Court </w:t>
      </w:r>
      <w:r w:rsidR="00457C56">
        <w:rPr>
          <w:rFonts w:ascii="Bookman Old Style" w:hAnsi="Bookman Old Style"/>
        </w:rPr>
        <w:t xml:space="preserve">that provides the </w:t>
      </w:r>
      <w:r w:rsidR="00457C56" w:rsidRPr="008F2A16">
        <w:rPr>
          <w:rFonts w:ascii="Bookman Old Style" w:hAnsi="Bookman Old Style"/>
          <w:i/>
        </w:rPr>
        <w:t>procedure</w:t>
      </w:r>
      <w:r w:rsidR="00457C56">
        <w:rPr>
          <w:rFonts w:ascii="Bookman Old Style" w:hAnsi="Bookman Old Style"/>
        </w:rPr>
        <w:t xml:space="preserve"> for seeking contribut</w:t>
      </w:r>
      <w:r w:rsidR="00AB724D">
        <w:rPr>
          <w:rFonts w:ascii="Bookman Old Style" w:hAnsi="Bookman Old Style"/>
        </w:rPr>
        <w:t xml:space="preserve">ion.  </w:t>
      </w:r>
    </w:p>
    <w:p w:rsidR="0026393E" w:rsidRPr="0026393E" w:rsidRDefault="008C5398" w:rsidP="0026393E">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The procedure is </w:t>
      </w:r>
      <w:r w:rsidR="00514F65">
        <w:rPr>
          <w:rFonts w:ascii="Bookman Old Style" w:hAnsi="Bookman Old Style"/>
        </w:rPr>
        <w:t>straightforward</w:t>
      </w:r>
      <w:r>
        <w:rPr>
          <w:rFonts w:ascii="Bookman Old Style" w:hAnsi="Bookman Old Style"/>
        </w:rPr>
        <w:t xml:space="preserve"> </w:t>
      </w:r>
      <w:r w:rsidR="006A4283">
        <w:rPr>
          <w:rFonts w:ascii="Bookman Old Style" w:hAnsi="Bookman Old Style"/>
        </w:rPr>
        <w:t xml:space="preserve">against </w:t>
      </w:r>
      <w:r w:rsidR="002D114B">
        <w:rPr>
          <w:rFonts w:ascii="Bookman Old Style" w:hAnsi="Bookman Old Style"/>
        </w:rPr>
        <w:t>a co-</w:t>
      </w:r>
      <w:r w:rsidR="006A4283">
        <w:rPr>
          <w:rFonts w:ascii="Bookman Old Style" w:hAnsi="Bookman Old Style"/>
        </w:rPr>
        <w:t xml:space="preserve">defendant.  The </w:t>
      </w:r>
      <w:r w:rsidR="00DB2B79">
        <w:rPr>
          <w:rFonts w:ascii="Bookman Old Style" w:hAnsi="Bookman Old Style"/>
        </w:rPr>
        <w:t>d</w:t>
      </w:r>
      <w:r w:rsidR="006A4283">
        <w:rPr>
          <w:rFonts w:ascii="Bookman Old Style" w:hAnsi="Bookman Old Style"/>
        </w:rPr>
        <w:t xml:space="preserve">efendant must file and serve a </w:t>
      </w:r>
      <w:r w:rsidR="001F1853">
        <w:rPr>
          <w:rFonts w:ascii="Bookman Old Style" w:hAnsi="Bookman Old Style"/>
        </w:rPr>
        <w:t xml:space="preserve">Notice Seeking Contribution on the co-defendant using Form </w:t>
      </w:r>
      <w:proofErr w:type="spellStart"/>
      <w:r w:rsidR="001F1853">
        <w:rPr>
          <w:rFonts w:ascii="Bookman Old Style" w:hAnsi="Bookman Old Style"/>
        </w:rPr>
        <w:t>11B</w:t>
      </w:r>
      <w:proofErr w:type="spellEnd"/>
      <w:r w:rsidR="001F1853">
        <w:rPr>
          <w:rFonts w:ascii="Bookman Old Style" w:hAnsi="Bookman Old Style"/>
        </w:rPr>
        <w:t xml:space="preserve">.  </w:t>
      </w:r>
      <w:r w:rsidR="0026393E">
        <w:rPr>
          <w:rFonts w:ascii="Bookman Old Style" w:hAnsi="Bookman Old Style"/>
        </w:rPr>
        <w:t xml:space="preserve"> </w:t>
      </w:r>
      <w:r w:rsidR="005931BF" w:rsidRPr="0026393E">
        <w:rPr>
          <w:rFonts w:ascii="Bookman Old Style" w:hAnsi="Bookman Old Style"/>
        </w:rPr>
        <w:t xml:space="preserve">That Form must give sufficient notice to the co-defendant of the claim.  </w:t>
      </w:r>
      <w:r w:rsidR="0026393E" w:rsidRPr="0026393E">
        <w:rPr>
          <w:rFonts w:ascii="Bookman Old Style" w:hAnsi="Bookman Old Style"/>
        </w:rPr>
        <w:t xml:space="preserve"> </w:t>
      </w:r>
      <w:r w:rsidR="005931BF" w:rsidRPr="0026393E">
        <w:rPr>
          <w:rFonts w:ascii="Bookman Old Style" w:hAnsi="Bookman Old Style"/>
        </w:rPr>
        <w:t xml:space="preserve">Typically, that means that the co-defendant says it seeks contribution to any award for damages against it from the plaintiff.  </w:t>
      </w:r>
    </w:p>
    <w:p w:rsidR="0006754C" w:rsidRPr="0026393E" w:rsidRDefault="00DD0589" w:rsidP="0026393E">
      <w:pPr>
        <w:pStyle w:val="ListParagraph"/>
        <w:numPr>
          <w:ilvl w:val="0"/>
          <w:numId w:val="1"/>
        </w:numPr>
        <w:spacing w:line="480" w:lineRule="auto"/>
        <w:ind w:hanging="720"/>
        <w:jc w:val="both"/>
        <w:rPr>
          <w:rFonts w:ascii="Bookman Old Style" w:hAnsi="Bookman Old Style"/>
        </w:rPr>
      </w:pPr>
      <w:r w:rsidRPr="0026393E">
        <w:rPr>
          <w:rFonts w:ascii="Bookman Old Style" w:hAnsi="Bookman Old Style"/>
        </w:rPr>
        <w:t xml:space="preserve">If, however, </w:t>
      </w:r>
      <w:r w:rsidR="00965CAA" w:rsidRPr="0026393E">
        <w:rPr>
          <w:rFonts w:ascii="Bookman Old Style" w:hAnsi="Bookman Old Style"/>
        </w:rPr>
        <w:t xml:space="preserve">the claim for contribution goes beyond the plaintiff’s pleadings, </w:t>
      </w:r>
      <w:r w:rsidR="00395B37" w:rsidRPr="0026393E">
        <w:rPr>
          <w:rFonts w:ascii="Bookman Old Style" w:hAnsi="Bookman Old Style"/>
        </w:rPr>
        <w:t xml:space="preserve">for </w:t>
      </w:r>
      <w:r w:rsidR="00542E17" w:rsidRPr="0026393E">
        <w:rPr>
          <w:rFonts w:ascii="Bookman Old Style" w:hAnsi="Bookman Old Style"/>
        </w:rPr>
        <w:t>example,</w:t>
      </w:r>
      <w:r w:rsidR="00395B37" w:rsidRPr="0026393E">
        <w:rPr>
          <w:rFonts w:ascii="Bookman Old Style" w:hAnsi="Bookman Old Style"/>
        </w:rPr>
        <w:t xml:space="preserve"> it relies on </w:t>
      </w:r>
      <w:r w:rsidR="008F2A16" w:rsidRPr="0026393E">
        <w:rPr>
          <w:rFonts w:ascii="Bookman Old Style" w:hAnsi="Bookman Old Style"/>
        </w:rPr>
        <w:t>additional facts to argue the other party’s contribution</w:t>
      </w:r>
      <w:r w:rsidR="00395B37" w:rsidRPr="0026393E">
        <w:rPr>
          <w:rFonts w:ascii="Bookman Old Style" w:hAnsi="Bookman Old Style"/>
        </w:rPr>
        <w:t xml:space="preserve">, </w:t>
      </w:r>
      <w:r w:rsidR="00965CAA" w:rsidRPr="0026393E">
        <w:rPr>
          <w:rFonts w:ascii="Bookman Old Style" w:hAnsi="Bookman Old Style"/>
        </w:rPr>
        <w:t xml:space="preserve">the defendant must give sufficient notice to the </w:t>
      </w:r>
      <w:r w:rsidR="00256FA4" w:rsidRPr="0026393E">
        <w:rPr>
          <w:rFonts w:ascii="Bookman Old Style" w:hAnsi="Bookman Old Style"/>
        </w:rPr>
        <w:t xml:space="preserve">co-defendant of its claim.  </w:t>
      </w:r>
      <w:r w:rsidR="005B4A98" w:rsidRPr="0026393E">
        <w:rPr>
          <w:rFonts w:ascii="Bookman Old Style" w:hAnsi="Bookman Old Style"/>
        </w:rPr>
        <w:t xml:space="preserve"> </w:t>
      </w:r>
    </w:p>
    <w:p w:rsidR="00450B0C" w:rsidRPr="005B4A98" w:rsidRDefault="00DB2B79" w:rsidP="005B4A98">
      <w:pPr>
        <w:pStyle w:val="ListParagraph"/>
        <w:numPr>
          <w:ilvl w:val="0"/>
          <w:numId w:val="1"/>
        </w:numPr>
        <w:spacing w:line="480" w:lineRule="auto"/>
        <w:ind w:hanging="720"/>
        <w:jc w:val="both"/>
        <w:rPr>
          <w:rFonts w:ascii="Bookman Old Style" w:hAnsi="Bookman Old Style"/>
        </w:rPr>
      </w:pPr>
      <w:r w:rsidRPr="005B4A98">
        <w:rPr>
          <w:rFonts w:ascii="Bookman Old Style" w:hAnsi="Bookman Old Style"/>
        </w:rPr>
        <w:t>In practice</w:t>
      </w:r>
      <w:r w:rsidR="00520DB7" w:rsidRPr="005B4A98">
        <w:rPr>
          <w:rFonts w:ascii="Bookman Old Style" w:hAnsi="Bookman Old Style"/>
        </w:rPr>
        <w:t xml:space="preserve">, </w:t>
      </w:r>
      <w:r w:rsidR="00542E17">
        <w:rPr>
          <w:rFonts w:ascii="Bookman Old Style" w:hAnsi="Bookman Old Style"/>
        </w:rPr>
        <w:t>‘</w:t>
      </w:r>
      <w:r w:rsidR="00520DB7" w:rsidRPr="005B4A98">
        <w:rPr>
          <w:rFonts w:ascii="Bookman Old Style" w:hAnsi="Bookman Old Style"/>
        </w:rPr>
        <w:t>sufficient notice</w:t>
      </w:r>
      <w:r w:rsidR="00542E17">
        <w:rPr>
          <w:rFonts w:ascii="Bookman Old Style" w:hAnsi="Bookman Old Style"/>
        </w:rPr>
        <w:t>’</w:t>
      </w:r>
      <w:r w:rsidR="00256FA4" w:rsidRPr="005B4A98">
        <w:rPr>
          <w:rFonts w:ascii="Bookman Old Style" w:hAnsi="Bookman Old Style"/>
        </w:rPr>
        <w:t xml:space="preserve"> </w:t>
      </w:r>
      <w:r w:rsidR="00D30478" w:rsidRPr="005B4A98">
        <w:rPr>
          <w:rFonts w:ascii="Bookman Old Style" w:hAnsi="Bookman Old Style"/>
        </w:rPr>
        <w:t xml:space="preserve">in such a case </w:t>
      </w:r>
      <w:r w:rsidR="00256FA4" w:rsidRPr="005B4A98">
        <w:rPr>
          <w:rFonts w:ascii="Bookman Old Style" w:hAnsi="Bookman Old Style"/>
        </w:rPr>
        <w:t>means the defendant issues a Statement of Claim against the co-defendant</w:t>
      </w:r>
      <w:r w:rsidR="003B28B9" w:rsidRPr="005B4A98">
        <w:rPr>
          <w:rFonts w:ascii="Bookman Old Style" w:hAnsi="Bookman Old Style"/>
        </w:rPr>
        <w:t xml:space="preserve"> pleading out its claim</w:t>
      </w:r>
      <w:r w:rsidR="00256FA4" w:rsidRPr="005B4A98">
        <w:rPr>
          <w:rFonts w:ascii="Bookman Old Style" w:hAnsi="Bookman Old Style"/>
        </w:rPr>
        <w:t>.</w:t>
      </w:r>
      <w:r w:rsidR="00B66CE7" w:rsidRPr="005B4A98">
        <w:rPr>
          <w:rFonts w:ascii="Bookman Old Style" w:hAnsi="Bookman Old Style"/>
        </w:rPr>
        <w:t xml:space="preserve">  The co-defendant will then issue a defence so the issues between the parties are before the Court. </w:t>
      </w:r>
      <w:r w:rsidR="00256FA4" w:rsidRPr="005B4A98">
        <w:rPr>
          <w:rFonts w:ascii="Bookman Old Style" w:hAnsi="Bookman Old Style"/>
        </w:rPr>
        <w:t xml:space="preserve"> </w:t>
      </w:r>
    </w:p>
    <w:p w:rsidR="00D21E66" w:rsidRDefault="002B2B88"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If the defendant seeks contribution from a non-party, </w:t>
      </w:r>
      <w:r w:rsidR="00F87172">
        <w:rPr>
          <w:rFonts w:ascii="Bookman Old Style" w:hAnsi="Bookman Old Style"/>
        </w:rPr>
        <w:t>assuming proceedings are on foot</w:t>
      </w:r>
      <w:r w:rsidR="000A0516">
        <w:rPr>
          <w:rFonts w:ascii="Bookman Old Style" w:hAnsi="Bookman Old Style"/>
        </w:rPr>
        <w:t xml:space="preserve"> and putting to one side informal negotiations,</w:t>
      </w:r>
      <w:r w:rsidR="00F87172">
        <w:rPr>
          <w:rFonts w:ascii="Bookman Old Style" w:hAnsi="Bookman Old Style"/>
        </w:rPr>
        <w:t xml:space="preserve"> </w:t>
      </w:r>
      <w:r w:rsidR="008C00FD">
        <w:rPr>
          <w:rFonts w:ascii="Bookman Old Style" w:hAnsi="Bookman Old Style"/>
        </w:rPr>
        <w:t xml:space="preserve">the defendant </w:t>
      </w:r>
      <w:r w:rsidR="008C00FD" w:rsidRPr="008C00FD">
        <w:rPr>
          <w:rFonts w:ascii="Bookman Old Style" w:hAnsi="Bookman Old Style"/>
        </w:rPr>
        <w:t xml:space="preserve">must issue a </w:t>
      </w:r>
      <w:proofErr w:type="gramStart"/>
      <w:r w:rsidR="0058648B">
        <w:rPr>
          <w:rFonts w:ascii="Bookman Old Style" w:hAnsi="Bookman Old Style"/>
        </w:rPr>
        <w:t>Third Party</w:t>
      </w:r>
      <w:proofErr w:type="gramEnd"/>
      <w:r w:rsidR="0058648B">
        <w:rPr>
          <w:rFonts w:ascii="Bookman Old Style" w:hAnsi="Bookman Old Style"/>
        </w:rPr>
        <w:t xml:space="preserve"> Notice</w:t>
      </w:r>
      <w:r w:rsidR="008C00FD" w:rsidRPr="008C00FD">
        <w:rPr>
          <w:rFonts w:ascii="Bookman Old Style" w:hAnsi="Bookman Old Style"/>
        </w:rPr>
        <w:t xml:space="preserve"> and Statement of Claim on a Third Party (Form </w:t>
      </w:r>
      <w:proofErr w:type="spellStart"/>
      <w:r w:rsidR="008C00FD" w:rsidRPr="008C00FD">
        <w:rPr>
          <w:rFonts w:ascii="Bookman Old Style" w:hAnsi="Bookman Old Style"/>
        </w:rPr>
        <w:t>11A</w:t>
      </w:r>
      <w:proofErr w:type="spellEnd"/>
      <w:r w:rsidR="008C00FD" w:rsidRPr="008C00FD">
        <w:rPr>
          <w:rFonts w:ascii="Bookman Old Style" w:hAnsi="Bookman Old Style"/>
        </w:rPr>
        <w:t>)</w:t>
      </w:r>
      <w:r w:rsidR="00763E95">
        <w:rPr>
          <w:rFonts w:ascii="Bookman Old Style" w:hAnsi="Bookman Old Style"/>
        </w:rPr>
        <w:t xml:space="preserve">.  </w:t>
      </w:r>
      <w:r w:rsidR="00DB4501">
        <w:rPr>
          <w:rFonts w:ascii="Bookman Old Style" w:hAnsi="Bookman Old Style"/>
        </w:rPr>
        <w:t xml:space="preserve"> </w:t>
      </w:r>
    </w:p>
    <w:p w:rsidR="002D2707" w:rsidRPr="00D21E66" w:rsidRDefault="00952CB3" w:rsidP="00D21E66">
      <w:pPr>
        <w:pStyle w:val="ListParagraph"/>
        <w:numPr>
          <w:ilvl w:val="0"/>
          <w:numId w:val="1"/>
        </w:numPr>
        <w:spacing w:line="480" w:lineRule="auto"/>
        <w:ind w:hanging="720"/>
        <w:jc w:val="both"/>
        <w:rPr>
          <w:rFonts w:ascii="Bookman Old Style" w:hAnsi="Bookman Old Style"/>
        </w:rPr>
      </w:pPr>
      <w:r>
        <w:rPr>
          <w:rFonts w:ascii="Bookman Old Style" w:hAnsi="Bookman Old Style"/>
        </w:rPr>
        <w:t>It should be noted also</w:t>
      </w:r>
      <w:r w:rsidR="00F53155">
        <w:rPr>
          <w:rFonts w:ascii="Bookman Old Style" w:hAnsi="Bookman Old Style"/>
        </w:rPr>
        <w:t xml:space="preserve"> that, under the </w:t>
      </w:r>
      <w:r w:rsidR="00F53155">
        <w:rPr>
          <w:rFonts w:ascii="Bookman Old Style" w:hAnsi="Bookman Old Style"/>
          <w:i/>
        </w:rPr>
        <w:t>Rules of the Court</w:t>
      </w:r>
      <w:r w:rsidR="00F53155">
        <w:rPr>
          <w:rFonts w:ascii="Bookman Old Style" w:hAnsi="Bookman Old Style"/>
        </w:rPr>
        <w:t xml:space="preserve">, </w:t>
      </w:r>
      <w:r w:rsidR="009219DF">
        <w:rPr>
          <w:rFonts w:ascii="Bookman Old Style" w:hAnsi="Bookman Old Style"/>
        </w:rPr>
        <w:t xml:space="preserve">the defendant cannot join the third party until the defendant files and serves its defence.  </w:t>
      </w:r>
      <w:r w:rsidR="00D21E66">
        <w:rPr>
          <w:rFonts w:ascii="Bookman Old Style" w:hAnsi="Bookman Old Style"/>
        </w:rPr>
        <w:t xml:space="preserve"> </w:t>
      </w:r>
      <w:r w:rsidR="002D2707" w:rsidRPr="00D21E66">
        <w:rPr>
          <w:rFonts w:ascii="Bookman Old Style" w:hAnsi="Bookman Old Style"/>
        </w:rPr>
        <w:t xml:space="preserve">It is best for a defendant to join a third party within 30 days after it files and </w:t>
      </w:r>
      <w:r w:rsidR="002D2707" w:rsidRPr="00D21E66">
        <w:rPr>
          <w:rFonts w:ascii="Bookman Old Style" w:hAnsi="Bookman Old Style"/>
        </w:rPr>
        <w:lastRenderedPageBreak/>
        <w:t xml:space="preserve">serves its defence </w:t>
      </w:r>
      <w:r w:rsidR="003821FD" w:rsidRPr="00D21E66">
        <w:rPr>
          <w:rFonts w:ascii="Bookman Old Style" w:hAnsi="Bookman Old Style"/>
        </w:rPr>
        <w:t xml:space="preserve">because the defendant needs neither the consent of the plaintiff nor leave of the court.  Otherwise one or other is necessary. </w:t>
      </w:r>
      <w:r w:rsidR="00F32D47" w:rsidRPr="00D21E66">
        <w:rPr>
          <w:rFonts w:ascii="Bookman Old Style" w:hAnsi="Bookman Old Style"/>
        </w:rPr>
        <w:t xml:space="preserve"> </w:t>
      </w:r>
    </w:p>
    <w:p w:rsidR="0026393E" w:rsidRPr="00871801" w:rsidRDefault="004B102B" w:rsidP="00842E41">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If the </w:t>
      </w:r>
      <w:r w:rsidR="003A5305">
        <w:rPr>
          <w:rFonts w:ascii="Bookman Old Style" w:hAnsi="Bookman Old Style"/>
        </w:rPr>
        <w:t>claimant</w:t>
      </w:r>
      <w:r>
        <w:rPr>
          <w:rFonts w:ascii="Bookman Old Style" w:hAnsi="Bookman Old Style"/>
        </w:rPr>
        <w:t xml:space="preserve">’s claim against the defendant resolves </w:t>
      </w:r>
      <w:r w:rsidR="003A5305">
        <w:rPr>
          <w:rFonts w:ascii="Bookman Old Style" w:hAnsi="Bookman Old Style"/>
        </w:rPr>
        <w:t>before the claimant has issued proceedings</w:t>
      </w:r>
      <w:r>
        <w:rPr>
          <w:rFonts w:ascii="Bookman Old Style" w:hAnsi="Bookman Old Style"/>
        </w:rPr>
        <w:t xml:space="preserve">, the party seeking contribution against another would issue a Writ and Statement of Claim in the usual way.   </w:t>
      </w:r>
    </w:p>
    <w:p w:rsidR="00842E41" w:rsidRPr="00C85459" w:rsidRDefault="00C85459" w:rsidP="00842E41">
      <w:pPr>
        <w:spacing w:line="480" w:lineRule="auto"/>
        <w:jc w:val="both"/>
        <w:rPr>
          <w:rFonts w:ascii="Bookman Old Style" w:hAnsi="Bookman Old Style"/>
          <w:b/>
        </w:rPr>
      </w:pPr>
      <w:r w:rsidRPr="00C85459">
        <w:rPr>
          <w:rFonts w:ascii="Bookman Old Style" w:hAnsi="Bookman Old Style"/>
          <w:b/>
        </w:rPr>
        <w:t>Limitation periods</w:t>
      </w:r>
    </w:p>
    <w:p w:rsidR="00765DB8" w:rsidRDefault="00C85459"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One of lawyers’ many bugbears</w:t>
      </w:r>
      <w:r w:rsidR="00CD7E5F">
        <w:rPr>
          <w:rFonts w:ascii="Bookman Old Style" w:hAnsi="Bookman Old Style"/>
        </w:rPr>
        <w:t xml:space="preserve"> is</w:t>
      </w:r>
      <w:r w:rsidR="0006754C">
        <w:rPr>
          <w:rFonts w:ascii="Bookman Old Style" w:hAnsi="Bookman Old Style"/>
        </w:rPr>
        <w:t>, of course,</w:t>
      </w:r>
      <w:r w:rsidR="00CD7E5F">
        <w:rPr>
          <w:rFonts w:ascii="Bookman Old Style" w:hAnsi="Bookman Old Style"/>
        </w:rPr>
        <w:t xml:space="preserve"> limitation periods.</w:t>
      </w:r>
      <w:r w:rsidR="003368E6">
        <w:rPr>
          <w:rFonts w:ascii="Bookman Old Style" w:hAnsi="Bookman Old Style"/>
        </w:rPr>
        <w:t xml:space="preserve">  This is </w:t>
      </w:r>
      <w:r w:rsidR="0026393E">
        <w:rPr>
          <w:rFonts w:ascii="Bookman Old Style" w:hAnsi="Bookman Old Style"/>
        </w:rPr>
        <w:t xml:space="preserve">particularly, </w:t>
      </w:r>
      <w:r w:rsidR="00AC31F5">
        <w:rPr>
          <w:rFonts w:ascii="Bookman Old Style" w:hAnsi="Bookman Old Style"/>
        </w:rPr>
        <w:t>perhaps</w:t>
      </w:r>
      <w:r w:rsidR="0026393E">
        <w:rPr>
          <w:rFonts w:ascii="Bookman Old Style" w:hAnsi="Bookman Old Style"/>
        </w:rPr>
        <w:t xml:space="preserve"> </w:t>
      </w:r>
      <w:r w:rsidR="0026393E" w:rsidRPr="009F6592">
        <w:rPr>
          <w:rFonts w:ascii="Bookman Old Style" w:hAnsi="Bookman Old Style"/>
          <w:i/>
        </w:rPr>
        <w:t>frighteningly</w:t>
      </w:r>
      <w:r w:rsidR="0026393E">
        <w:rPr>
          <w:rFonts w:ascii="Bookman Old Style" w:hAnsi="Bookman Old Style"/>
        </w:rPr>
        <w:t>,</w:t>
      </w:r>
      <w:r w:rsidR="003368E6">
        <w:rPr>
          <w:rFonts w:ascii="Bookman Old Style" w:hAnsi="Bookman Old Style"/>
        </w:rPr>
        <w:t xml:space="preserve"> relevant to contribution claims. </w:t>
      </w:r>
      <w:r w:rsidR="00CD7E5F">
        <w:rPr>
          <w:rFonts w:ascii="Bookman Old Style" w:hAnsi="Bookman Old Style"/>
        </w:rPr>
        <w:t xml:space="preserve"> </w:t>
      </w:r>
    </w:p>
    <w:p w:rsidR="00D36670" w:rsidRDefault="006566FE"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U</w:t>
      </w:r>
      <w:r w:rsidR="00A84E84">
        <w:rPr>
          <w:rFonts w:ascii="Bookman Old Style" w:hAnsi="Bookman Old Style"/>
        </w:rPr>
        <w:t xml:space="preserve">nlike many of the provisions in the </w:t>
      </w:r>
      <w:r w:rsidR="00A84E84">
        <w:rPr>
          <w:rFonts w:ascii="Bookman Old Style" w:hAnsi="Bookman Old Style"/>
          <w:i/>
        </w:rPr>
        <w:t>Limitations of Actions Act</w:t>
      </w:r>
      <w:r w:rsidR="00A84E84">
        <w:rPr>
          <w:rFonts w:ascii="Bookman Old Style" w:hAnsi="Bookman Old Style"/>
        </w:rPr>
        <w:t xml:space="preserve">, </w:t>
      </w:r>
      <w:r w:rsidR="006A597C">
        <w:rPr>
          <w:rFonts w:ascii="Bookman Old Style" w:hAnsi="Bookman Old Style"/>
        </w:rPr>
        <w:t xml:space="preserve">the </w:t>
      </w:r>
      <w:r w:rsidR="006A597C">
        <w:rPr>
          <w:rFonts w:ascii="Bookman Old Style" w:hAnsi="Bookman Old Style"/>
          <w:i/>
        </w:rPr>
        <w:t xml:space="preserve">Wrongs Act </w:t>
      </w:r>
      <w:r w:rsidR="00B86C6C">
        <w:rPr>
          <w:rFonts w:ascii="Bookman Old Style" w:hAnsi="Bookman Old Style"/>
        </w:rPr>
        <w:t>does not permit</w:t>
      </w:r>
      <w:r w:rsidR="00CD20B5">
        <w:rPr>
          <w:rFonts w:ascii="Bookman Old Style" w:hAnsi="Bookman Old Style"/>
        </w:rPr>
        <w:t xml:space="preserve"> extensions of time to bring third party proceedings. </w:t>
      </w:r>
    </w:p>
    <w:p w:rsidR="00FB69E7" w:rsidRPr="008D07C8" w:rsidRDefault="008A0852" w:rsidP="008D07C8">
      <w:pPr>
        <w:pStyle w:val="ListParagraph"/>
        <w:numPr>
          <w:ilvl w:val="0"/>
          <w:numId w:val="1"/>
        </w:numPr>
        <w:spacing w:line="480" w:lineRule="auto"/>
        <w:ind w:hanging="720"/>
        <w:jc w:val="both"/>
        <w:rPr>
          <w:rFonts w:ascii="Bookman Old Style" w:hAnsi="Bookman Old Style"/>
        </w:rPr>
      </w:pPr>
      <w:r w:rsidRPr="008D07C8">
        <w:rPr>
          <w:rFonts w:ascii="Bookman Old Style" w:hAnsi="Bookman Old Style"/>
        </w:rPr>
        <w:t xml:space="preserve">A </w:t>
      </w:r>
      <w:r w:rsidR="00C93AAE">
        <w:rPr>
          <w:rFonts w:ascii="Bookman Old Style" w:hAnsi="Bookman Old Style"/>
        </w:rPr>
        <w:t>d</w:t>
      </w:r>
      <w:r w:rsidRPr="008D07C8">
        <w:rPr>
          <w:rFonts w:ascii="Bookman Old Style" w:hAnsi="Bookman Old Style"/>
        </w:rPr>
        <w:t xml:space="preserve">efendant can seek contribution </w:t>
      </w:r>
      <w:r w:rsidR="00CE2A50">
        <w:rPr>
          <w:rFonts w:ascii="Bookman Old Style" w:hAnsi="Bookman Old Style"/>
        </w:rPr>
        <w:t xml:space="preserve">from another party </w:t>
      </w:r>
      <w:r w:rsidRPr="008D07C8">
        <w:rPr>
          <w:rFonts w:ascii="Bookman Old Style" w:hAnsi="Bookman Old Style"/>
        </w:rPr>
        <w:t>at any time:</w:t>
      </w:r>
    </w:p>
    <w:p w:rsidR="00FB69E7" w:rsidRPr="008D07C8" w:rsidRDefault="008A3B74" w:rsidP="008D07C8">
      <w:pPr>
        <w:pStyle w:val="ListParagraph"/>
        <w:numPr>
          <w:ilvl w:val="1"/>
          <w:numId w:val="1"/>
        </w:numPr>
        <w:spacing w:line="480" w:lineRule="auto"/>
        <w:ind w:hanging="731"/>
        <w:jc w:val="both"/>
        <w:rPr>
          <w:rFonts w:ascii="Bookman Old Style" w:hAnsi="Bookman Old Style"/>
        </w:rPr>
      </w:pPr>
      <w:r>
        <w:rPr>
          <w:rFonts w:ascii="Bookman Old Style" w:hAnsi="Bookman Old Style"/>
        </w:rPr>
        <w:t>w</w:t>
      </w:r>
      <w:r w:rsidR="00C93AAE">
        <w:rPr>
          <w:rFonts w:ascii="Bookman Old Style" w:hAnsi="Bookman Old Style"/>
        </w:rPr>
        <w:t>ithin the time the plaintiff</w:t>
      </w:r>
      <w:r w:rsidR="008A0852" w:rsidRPr="008D07C8">
        <w:rPr>
          <w:rFonts w:ascii="Bookman Old Style" w:hAnsi="Bookman Old Style"/>
        </w:rPr>
        <w:t xml:space="preserve"> could have brought the claim against the third party; or</w:t>
      </w:r>
    </w:p>
    <w:p w:rsidR="00FB69E7" w:rsidRPr="008D07C8" w:rsidRDefault="008A3B74" w:rsidP="008D07C8">
      <w:pPr>
        <w:pStyle w:val="ListParagraph"/>
        <w:numPr>
          <w:ilvl w:val="1"/>
          <w:numId w:val="1"/>
        </w:numPr>
        <w:spacing w:line="480" w:lineRule="auto"/>
        <w:ind w:hanging="731"/>
        <w:jc w:val="both"/>
        <w:rPr>
          <w:rFonts w:ascii="Bookman Old Style" w:hAnsi="Bookman Old Style"/>
        </w:rPr>
      </w:pPr>
      <w:r>
        <w:rPr>
          <w:rFonts w:ascii="Bookman Old Style" w:hAnsi="Bookman Old Style"/>
        </w:rPr>
        <w:t>within 12 months after the plaintiff brought the claim against the defendant</w:t>
      </w:r>
      <w:r w:rsidR="008A0852" w:rsidRPr="008D07C8">
        <w:rPr>
          <w:rFonts w:ascii="Bookman Old Style" w:hAnsi="Bookman Old Style"/>
        </w:rPr>
        <w:t xml:space="preserve">, </w:t>
      </w:r>
    </w:p>
    <w:p w:rsidR="008D07C8" w:rsidRPr="008D07C8" w:rsidRDefault="008D07C8" w:rsidP="008D07C8">
      <w:pPr>
        <w:pStyle w:val="ListParagraph"/>
        <w:spacing w:line="480" w:lineRule="auto"/>
        <w:jc w:val="both"/>
        <w:rPr>
          <w:rFonts w:ascii="Bookman Old Style" w:hAnsi="Bookman Old Style"/>
        </w:rPr>
      </w:pPr>
      <w:r w:rsidRPr="008D07C8">
        <w:rPr>
          <w:rFonts w:ascii="Bookman Old Style" w:hAnsi="Bookman Old Style"/>
        </w:rPr>
        <w:t>wh</w:t>
      </w:r>
      <w:r w:rsidR="00A73957">
        <w:rPr>
          <w:rFonts w:ascii="Bookman Old Style" w:hAnsi="Bookman Old Style"/>
        </w:rPr>
        <w:t>ich</w:t>
      </w:r>
      <w:r w:rsidRPr="008D07C8">
        <w:rPr>
          <w:rFonts w:ascii="Bookman Old Style" w:hAnsi="Bookman Old Style"/>
        </w:rPr>
        <w:t xml:space="preserve">ever </w:t>
      </w:r>
      <w:r w:rsidR="006D6AA0">
        <w:rPr>
          <w:rFonts w:ascii="Bookman Old Style" w:hAnsi="Bookman Old Style"/>
        </w:rPr>
        <w:t xml:space="preserve">period </w:t>
      </w:r>
      <w:r w:rsidR="00973CDC">
        <w:rPr>
          <w:rFonts w:ascii="Bookman Old Style" w:hAnsi="Bookman Old Style"/>
        </w:rPr>
        <w:t>comes</w:t>
      </w:r>
      <w:r w:rsidRPr="008D07C8">
        <w:rPr>
          <w:rFonts w:ascii="Bookman Old Style" w:hAnsi="Bookman Old Style"/>
        </w:rPr>
        <w:t xml:space="preserve"> later. </w:t>
      </w:r>
    </w:p>
    <w:p w:rsidR="008D07C8" w:rsidRPr="008D07C8" w:rsidRDefault="00226F78" w:rsidP="008D07C8">
      <w:pPr>
        <w:pStyle w:val="ListParagraph"/>
        <w:numPr>
          <w:ilvl w:val="0"/>
          <w:numId w:val="1"/>
        </w:numPr>
        <w:spacing w:line="480" w:lineRule="auto"/>
        <w:ind w:hanging="720"/>
        <w:jc w:val="both"/>
        <w:rPr>
          <w:rFonts w:ascii="Bookman Old Style" w:hAnsi="Bookman Old Style"/>
        </w:rPr>
      </w:pPr>
      <w:r>
        <w:rPr>
          <w:rFonts w:ascii="Bookman Old Style" w:hAnsi="Bookman Old Style"/>
        </w:rPr>
        <w:t>By way of an example, in a ‘slip and trip’</w:t>
      </w:r>
      <w:r w:rsidR="00FC3287">
        <w:rPr>
          <w:rFonts w:ascii="Bookman Old Style" w:hAnsi="Bookman Old Style"/>
        </w:rPr>
        <w:t xml:space="preserve"> claim, the </w:t>
      </w:r>
      <w:r w:rsidR="002819E0">
        <w:rPr>
          <w:rFonts w:ascii="Bookman Old Style" w:hAnsi="Bookman Old Style"/>
        </w:rPr>
        <w:t>p</w:t>
      </w:r>
      <w:r w:rsidR="003459E0">
        <w:rPr>
          <w:rFonts w:ascii="Bookman Old Style" w:hAnsi="Bookman Old Style"/>
        </w:rPr>
        <w:t>laintiff was injured on 1 June</w:t>
      </w:r>
      <w:r w:rsidR="00FC3287">
        <w:rPr>
          <w:rFonts w:ascii="Bookman Old Style" w:hAnsi="Bookman Old Style"/>
        </w:rPr>
        <w:t xml:space="preserve"> 201</w:t>
      </w:r>
      <w:r w:rsidR="006E2ECB">
        <w:rPr>
          <w:rFonts w:ascii="Bookman Old Style" w:hAnsi="Bookman Old Style"/>
        </w:rPr>
        <w:t>2</w:t>
      </w:r>
      <w:r w:rsidR="00FC3287">
        <w:rPr>
          <w:rFonts w:ascii="Bookman Old Style" w:hAnsi="Bookman Old Style"/>
        </w:rPr>
        <w:t xml:space="preserve">.  He had three years to bring a claim against </w:t>
      </w:r>
      <w:r w:rsidR="009E06E2">
        <w:rPr>
          <w:rFonts w:ascii="Bookman Old Style" w:hAnsi="Bookman Old Style"/>
        </w:rPr>
        <w:t>any negligent party</w:t>
      </w:r>
      <w:r w:rsidR="00EE3F70">
        <w:rPr>
          <w:rFonts w:ascii="Bookman Old Style" w:hAnsi="Bookman Old Style"/>
        </w:rPr>
        <w:t xml:space="preserve"> (1 J</w:t>
      </w:r>
      <w:r w:rsidR="003459E0">
        <w:rPr>
          <w:rFonts w:ascii="Bookman Old Style" w:hAnsi="Bookman Old Style"/>
        </w:rPr>
        <w:t>une</w:t>
      </w:r>
      <w:r w:rsidR="00EE3F70">
        <w:rPr>
          <w:rFonts w:ascii="Bookman Old Style" w:hAnsi="Bookman Old Style"/>
        </w:rPr>
        <w:t xml:space="preserve"> 201</w:t>
      </w:r>
      <w:r w:rsidR="006E2ECB">
        <w:rPr>
          <w:rFonts w:ascii="Bookman Old Style" w:hAnsi="Bookman Old Style"/>
        </w:rPr>
        <w:t>5</w:t>
      </w:r>
      <w:r w:rsidR="00EE3F70">
        <w:rPr>
          <w:rFonts w:ascii="Bookman Old Style" w:hAnsi="Bookman Old Style"/>
        </w:rPr>
        <w:t>)</w:t>
      </w:r>
      <w:r w:rsidR="00FC3287">
        <w:rPr>
          <w:rFonts w:ascii="Bookman Old Style" w:hAnsi="Bookman Old Style"/>
        </w:rPr>
        <w:t xml:space="preserve">.  </w:t>
      </w:r>
      <w:r w:rsidR="00A6536F">
        <w:rPr>
          <w:rFonts w:ascii="Bookman Old Style" w:hAnsi="Bookman Old Style"/>
        </w:rPr>
        <w:t>He brought his claim against the defendant</w:t>
      </w:r>
      <w:r w:rsidR="006D62D0">
        <w:rPr>
          <w:rFonts w:ascii="Bookman Old Style" w:hAnsi="Bookman Old Style"/>
        </w:rPr>
        <w:t xml:space="preserve"> occupier</w:t>
      </w:r>
      <w:r w:rsidR="00A6536F">
        <w:rPr>
          <w:rFonts w:ascii="Bookman Old Style" w:hAnsi="Bookman Old Style"/>
        </w:rPr>
        <w:t xml:space="preserve"> </w:t>
      </w:r>
      <w:r w:rsidR="002819E0">
        <w:rPr>
          <w:rFonts w:ascii="Bookman Old Style" w:hAnsi="Bookman Old Style"/>
        </w:rPr>
        <w:t xml:space="preserve">on </w:t>
      </w:r>
      <w:r w:rsidR="006E2ECB">
        <w:rPr>
          <w:rFonts w:ascii="Bookman Old Style" w:hAnsi="Bookman Old Style"/>
        </w:rPr>
        <w:t>25 May 2015</w:t>
      </w:r>
      <w:r w:rsidR="002819E0">
        <w:rPr>
          <w:rFonts w:ascii="Bookman Old Style" w:hAnsi="Bookman Old Style"/>
        </w:rPr>
        <w:t xml:space="preserve">.  </w:t>
      </w:r>
      <w:r w:rsidR="00EF0E90">
        <w:rPr>
          <w:rFonts w:ascii="Bookman Old Style" w:hAnsi="Bookman Old Style"/>
        </w:rPr>
        <w:t>In this ca</w:t>
      </w:r>
      <w:r w:rsidR="004D694D">
        <w:rPr>
          <w:rFonts w:ascii="Bookman Old Style" w:hAnsi="Bookman Old Style"/>
        </w:rPr>
        <w:t xml:space="preserve">se, the defendant has until </w:t>
      </w:r>
      <w:r w:rsidR="006E2ECB">
        <w:rPr>
          <w:rFonts w:ascii="Bookman Old Style" w:hAnsi="Bookman Old Style"/>
        </w:rPr>
        <w:t>18 May 2016</w:t>
      </w:r>
      <w:r w:rsidR="004D694D">
        <w:rPr>
          <w:rFonts w:ascii="Bookman Old Style" w:hAnsi="Bookman Old Style"/>
        </w:rPr>
        <w:t xml:space="preserve"> to join </w:t>
      </w:r>
      <w:r w:rsidR="00040A5D">
        <w:rPr>
          <w:rFonts w:ascii="Bookman Old Style" w:hAnsi="Bookman Old Style"/>
        </w:rPr>
        <w:t xml:space="preserve">the landlord as </w:t>
      </w:r>
      <w:r w:rsidR="004D694D">
        <w:rPr>
          <w:rFonts w:ascii="Bookman Old Style" w:hAnsi="Bookman Old Style"/>
        </w:rPr>
        <w:t>a third party to the claim</w:t>
      </w:r>
      <w:r w:rsidR="00F121CB">
        <w:rPr>
          <w:rFonts w:ascii="Bookman Old Style" w:hAnsi="Bookman Old Style"/>
        </w:rPr>
        <w:t xml:space="preserve"> (or, if already a party, to file and serve its contribution notice</w:t>
      </w:r>
      <w:r w:rsidR="002D44D7">
        <w:rPr>
          <w:rFonts w:ascii="Bookman Old Style" w:hAnsi="Bookman Old Style"/>
        </w:rPr>
        <w:t xml:space="preserve"> against the landlord</w:t>
      </w:r>
      <w:r w:rsidR="00F121CB">
        <w:rPr>
          <w:rFonts w:ascii="Bookman Old Style" w:hAnsi="Bookman Old Style"/>
        </w:rPr>
        <w:t>)</w:t>
      </w:r>
      <w:r w:rsidR="004D694D">
        <w:rPr>
          <w:rFonts w:ascii="Bookman Old Style" w:hAnsi="Bookman Old Style"/>
        </w:rPr>
        <w:t xml:space="preserve">.  </w:t>
      </w:r>
    </w:p>
    <w:p w:rsidR="008D07C8" w:rsidRDefault="00173510"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If the Plaintiff did not know the occupier </w:t>
      </w:r>
      <w:r w:rsidR="00907289">
        <w:rPr>
          <w:rFonts w:ascii="Bookman Old Style" w:hAnsi="Bookman Old Style"/>
        </w:rPr>
        <w:t xml:space="preserve">was </w:t>
      </w:r>
      <w:r w:rsidR="004957CF">
        <w:rPr>
          <w:rFonts w:ascii="Bookman Old Style" w:hAnsi="Bookman Old Style"/>
        </w:rPr>
        <w:t xml:space="preserve">a </w:t>
      </w:r>
      <w:r w:rsidR="00907289">
        <w:rPr>
          <w:rFonts w:ascii="Bookman Old Style" w:hAnsi="Bookman Old Style"/>
        </w:rPr>
        <w:t xml:space="preserve">separate </w:t>
      </w:r>
      <w:r w:rsidR="004957CF">
        <w:rPr>
          <w:rFonts w:ascii="Bookman Old Style" w:hAnsi="Bookman Old Style"/>
        </w:rPr>
        <w:t xml:space="preserve">entity </w:t>
      </w:r>
      <w:r w:rsidR="00907289">
        <w:rPr>
          <w:rFonts w:ascii="Bookman Old Style" w:hAnsi="Bookman Old Style"/>
        </w:rPr>
        <w:t>to the</w:t>
      </w:r>
      <w:r>
        <w:rPr>
          <w:rFonts w:ascii="Bookman Old Style" w:hAnsi="Bookman Old Style"/>
        </w:rPr>
        <w:t xml:space="preserve"> landlord until a few years after the incident, it is debatable</w:t>
      </w:r>
      <w:r w:rsidR="00133A38">
        <w:rPr>
          <w:rFonts w:ascii="Bookman Old Style" w:hAnsi="Bookman Old Style"/>
        </w:rPr>
        <w:t xml:space="preserve"> </w:t>
      </w:r>
      <w:r w:rsidR="00BC15E3">
        <w:rPr>
          <w:rFonts w:ascii="Bookman Old Style" w:hAnsi="Bookman Old Style"/>
        </w:rPr>
        <w:t xml:space="preserve">whether </w:t>
      </w:r>
      <w:r w:rsidR="00133A38">
        <w:rPr>
          <w:rFonts w:ascii="Bookman Old Style" w:hAnsi="Bookman Old Style"/>
        </w:rPr>
        <w:t xml:space="preserve">sections </w:t>
      </w:r>
      <w:proofErr w:type="spellStart"/>
      <w:r w:rsidR="00133A38" w:rsidRPr="00133A38">
        <w:rPr>
          <w:rFonts w:ascii="Bookman Old Style" w:hAnsi="Bookman Old Style"/>
        </w:rPr>
        <w:t>27K</w:t>
      </w:r>
      <w:proofErr w:type="spellEnd"/>
      <w:r w:rsidR="00133A38" w:rsidRPr="00133A38">
        <w:rPr>
          <w:rFonts w:ascii="Bookman Old Style" w:hAnsi="Bookman Old Style"/>
        </w:rPr>
        <w:t xml:space="preserve"> and </w:t>
      </w:r>
      <w:proofErr w:type="spellStart"/>
      <w:r w:rsidR="00133A38" w:rsidRPr="00133A38">
        <w:rPr>
          <w:rFonts w:ascii="Bookman Old Style" w:hAnsi="Bookman Old Style"/>
        </w:rPr>
        <w:lastRenderedPageBreak/>
        <w:t>27L</w:t>
      </w:r>
      <w:proofErr w:type="spellEnd"/>
      <w:r w:rsidR="00133A38" w:rsidRPr="00133A38">
        <w:rPr>
          <w:rFonts w:ascii="Bookman Old Style" w:hAnsi="Bookman Old Style"/>
        </w:rPr>
        <w:t xml:space="preserve"> </w:t>
      </w:r>
      <w:r w:rsidR="00133A38" w:rsidRPr="00133A38">
        <w:rPr>
          <w:rFonts w:ascii="Bookman Old Style" w:hAnsi="Bookman Old Style"/>
          <w:i/>
        </w:rPr>
        <w:t>Limitation of Actions Act</w:t>
      </w:r>
      <w:r w:rsidR="00875137" w:rsidRPr="009B381A">
        <w:rPr>
          <w:rStyle w:val="FootnoteReference"/>
          <w:rFonts w:ascii="Bookman Old Style" w:hAnsi="Bookman Old Style"/>
        </w:rPr>
        <w:footnoteReference w:id="13"/>
      </w:r>
      <w:r w:rsidR="00133A38">
        <w:rPr>
          <w:rFonts w:ascii="Bookman Old Style" w:hAnsi="Bookman Old Style"/>
          <w:i/>
        </w:rPr>
        <w:t xml:space="preserve"> </w:t>
      </w:r>
      <w:r w:rsidR="000A1D98">
        <w:rPr>
          <w:rFonts w:ascii="Bookman Old Style" w:hAnsi="Bookman Old Style"/>
        </w:rPr>
        <w:t>would extend time, thus extending time for a defendant to join a third party</w:t>
      </w:r>
      <w:r w:rsidR="00040A5D">
        <w:rPr>
          <w:rFonts w:ascii="Bookman Old Style" w:hAnsi="Bookman Old Style"/>
        </w:rPr>
        <w:t>.   T</w:t>
      </w:r>
      <w:r w:rsidR="00133A38">
        <w:rPr>
          <w:rFonts w:ascii="Bookman Old Style" w:hAnsi="Bookman Old Style"/>
        </w:rPr>
        <w:t>o my knowledge</w:t>
      </w:r>
      <w:r w:rsidR="009B381A">
        <w:rPr>
          <w:rFonts w:ascii="Bookman Old Style" w:hAnsi="Bookman Old Style"/>
        </w:rPr>
        <w:t>,</w:t>
      </w:r>
      <w:r w:rsidR="00133A38">
        <w:rPr>
          <w:rFonts w:ascii="Bookman Old Style" w:hAnsi="Bookman Old Style"/>
        </w:rPr>
        <w:t xml:space="preserve"> such an argument has not been tested</w:t>
      </w:r>
      <w:r w:rsidR="006B2B72">
        <w:rPr>
          <w:rFonts w:ascii="Bookman Old Style" w:hAnsi="Bookman Old Style"/>
        </w:rPr>
        <w:t>.  I</w:t>
      </w:r>
      <w:r w:rsidR="005939AF">
        <w:rPr>
          <w:rFonts w:ascii="Bookman Old Style" w:hAnsi="Bookman Old Style"/>
        </w:rPr>
        <w:t>t would be advisable</w:t>
      </w:r>
      <w:r w:rsidR="009B381A">
        <w:rPr>
          <w:rFonts w:ascii="Bookman Old Style" w:hAnsi="Bookman Old Style"/>
        </w:rPr>
        <w:t>, however,</w:t>
      </w:r>
      <w:r w:rsidR="005939AF">
        <w:rPr>
          <w:rFonts w:ascii="Bookman Old Style" w:hAnsi="Bookman Old Style"/>
        </w:rPr>
        <w:t xml:space="preserve"> to issue </w:t>
      </w:r>
      <w:r w:rsidR="001C61B7">
        <w:rPr>
          <w:rFonts w:ascii="Bookman Old Style" w:hAnsi="Bookman Old Style"/>
        </w:rPr>
        <w:t xml:space="preserve">any </w:t>
      </w:r>
      <w:r w:rsidR="000A1D98">
        <w:rPr>
          <w:rFonts w:ascii="Bookman Old Style" w:hAnsi="Bookman Old Style"/>
        </w:rPr>
        <w:t>contribution</w:t>
      </w:r>
      <w:r w:rsidR="001C61B7">
        <w:rPr>
          <w:rFonts w:ascii="Bookman Old Style" w:hAnsi="Bookman Old Style"/>
        </w:rPr>
        <w:t xml:space="preserve"> </w:t>
      </w:r>
      <w:r w:rsidR="00C46B17">
        <w:rPr>
          <w:rFonts w:ascii="Bookman Old Style" w:hAnsi="Bookman Old Style"/>
        </w:rPr>
        <w:t>proceedings</w:t>
      </w:r>
      <w:r w:rsidR="001C61B7">
        <w:rPr>
          <w:rFonts w:ascii="Bookman Old Style" w:hAnsi="Bookman Old Style"/>
        </w:rPr>
        <w:t xml:space="preserve"> </w:t>
      </w:r>
      <w:r w:rsidR="005939AF">
        <w:rPr>
          <w:rFonts w:ascii="Bookman Old Style" w:hAnsi="Bookman Old Style"/>
        </w:rPr>
        <w:t xml:space="preserve">within </w:t>
      </w:r>
      <w:r w:rsidR="00C46B17">
        <w:rPr>
          <w:rFonts w:ascii="Bookman Old Style" w:hAnsi="Bookman Old Style"/>
        </w:rPr>
        <w:t xml:space="preserve">the </w:t>
      </w:r>
      <w:proofErr w:type="gramStart"/>
      <w:r w:rsidR="00973253">
        <w:rPr>
          <w:rFonts w:ascii="Bookman Old Style" w:hAnsi="Bookman Old Style"/>
        </w:rPr>
        <w:t>12 month</w:t>
      </w:r>
      <w:proofErr w:type="gramEnd"/>
      <w:r w:rsidR="00973253">
        <w:rPr>
          <w:rFonts w:ascii="Bookman Old Style" w:hAnsi="Bookman Old Style"/>
        </w:rPr>
        <w:t xml:space="preserve"> timeframe </w:t>
      </w:r>
      <w:r w:rsidR="00D85F12">
        <w:rPr>
          <w:rFonts w:ascii="Bookman Old Style" w:hAnsi="Bookman Old Style"/>
        </w:rPr>
        <w:t>to avoid resort</w:t>
      </w:r>
      <w:r>
        <w:rPr>
          <w:rFonts w:ascii="Bookman Old Style" w:hAnsi="Bookman Old Style"/>
        </w:rPr>
        <w:t>ing</w:t>
      </w:r>
      <w:r w:rsidR="00D85F12">
        <w:rPr>
          <w:rFonts w:ascii="Bookman Old Style" w:hAnsi="Bookman Old Style"/>
        </w:rPr>
        <w:t xml:space="preserve"> to ‘creative’ arguments</w:t>
      </w:r>
      <w:r w:rsidR="00133A38">
        <w:rPr>
          <w:rFonts w:ascii="Bookman Old Style" w:hAnsi="Bookman Old Style"/>
        </w:rPr>
        <w:t xml:space="preserve">. </w:t>
      </w:r>
    </w:p>
    <w:p w:rsidR="00B7285A" w:rsidRDefault="001729C5"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The </w:t>
      </w:r>
      <w:r>
        <w:rPr>
          <w:rFonts w:ascii="Bookman Old Style" w:hAnsi="Bookman Old Style"/>
          <w:i/>
        </w:rPr>
        <w:t xml:space="preserve">Wrongs Act </w:t>
      </w:r>
      <w:r>
        <w:rPr>
          <w:rFonts w:ascii="Bookman Old Style" w:hAnsi="Bookman Old Style"/>
        </w:rPr>
        <w:t xml:space="preserve">also provides for </w:t>
      </w:r>
      <w:r w:rsidR="00473B6C">
        <w:rPr>
          <w:rFonts w:ascii="Bookman Old Style" w:hAnsi="Bookman Old Style"/>
        </w:rPr>
        <w:t>a third party to join a fourth party</w:t>
      </w:r>
      <w:r w:rsidR="00CE772E">
        <w:rPr>
          <w:rFonts w:ascii="Bookman Old Style" w:hAnsi="Bookman Old Style"/>
        </w:rPr>
        <w:t xml:space="preserve"> and so on</w:t>
      </w:r>
      <w:r w:rsidR="00384894">
        <w:rPr>
          <w:rStyle w:val="FootnoteReference"/>
          <w:rFonts w:ascii="Bookman Old Style" w:hAnsi="Bookman Old Style"/>
        </w:rPr>
        <w:footnoteReference w:id="14"/>
      </w:r>
      <w:r w:rsidR="00473B6C">
        <w:rPr>
          <w:rFonts w:ascii="Bookman Old Style" w:hAnsi="Bookman Old Style"/>
        </w:rPr>
        <w:t xml:space="preserve">.  </w:t>
      </w:r>
      <w:r w:rsidR="00312BAF">
        <w:rPr>
          <w:rFonts w:ascii="Bookman Old Style" w:hAnsi="Bookman Old Style"/>
        </w:rPr>
        <w:t xml:space="preserve">The Court has accepted that a third party may seek contribution from </w:t>
      </w:r>
      <w:r w:rsidR="00553754">
        <w:rPr>
          <w:rFonts w:ascii="Bookman Old Style" w:hAnsi="Bookman Old Style"/>
        </w:rPr>
        <w:t xml:space="preserve">a </w:t>
      </w:r>
      <w:r w:rsidR="00010DCC">
        <w:rPr>
          <w:rFonts w:ascii="Bookman Old Style" w:hAnsi="Bookman Old Style"/>
        </w:rPr>
        <w:t>fourth par</w:t>
      </w:r>
      <w:r w:rsidR="00553754">
        <w:rPr>
          <w:rFonts w:ascii="Bookman Old Style" w:hAnsi="Bookman Old Style"/>
        </w:rPr>
        <w:t>ty</w:t>
      </w:r>
      <w:r w:rsidR="007F38EB">
        <w:rPr>
          <w:rFonts w:ascii="Bookman Old Style" w:hAnsi="Bookman Old Style"/>
        </w:rPr>
        <w:t xml:space="preserve"> </w:t>
      </w:r>
      <w:r w:rsidR="00E77900">
        <w:rPr>
          <w:rFonts w:ascii="Bookman Old Style" w:hAnsi="Bookman Old Style"/>
        </w:rPr>
        <w:t xml:space="preserve">within the same time the defendant could have </w:t>
      </w:r>
      <w:r w:rsidR="004E5C2D">
        <w:rPr>
          <w:rFonts w:ascii="Bookman Old Style" w:hAnsi="Bookman Old Style"/>
        </w:rPr>
        <w:t>joined that</w:t>
      </w:r>
      <w:r w:rsidR="00E77900">
        <w:rPr>
          <w:rFonts w:ascii="Bookman Old Style" w:hAnsi="Bookman Old Style"/>
        </w:rPr>
        <w:t xml:space="preserve"> third party</w:t>
      </w:r>
      <w:r w:rsidR="00ED6A02">
        <w:rPr>
          <w:rFonts w:ascii="Bookman Old Style" w:hAnsi="Bookman Old Style"/>
        </w:rPr>
        <w:t>,</w:t>
      </w:r>
      <w:r w:rsidR="002A7110">
        <w:rPr>
          <w:rFonts w:ascii="Bookman Old Style" w:hAnsi="Bookman Old Style"/>
        </w:rPr>
        <w:t xml:space="preserve"> or within a further six month period</w:t>
      </w:r>
      <w:r w:rsidR="009005E2">
        <w:rPr>
          <w:rFonts w:ascii="Bookman Old Style" w:hAnsi="Bookman Old Style"/>
        </w:rPr>
        <w:t xml:space="preserve"> from the date the defendant issued proceedings on it</w:t>
      </w:r>
      <w:r w:rsidR="002A7110">
        <w:rPr>
          <w:rFonts w:ascii="Bookman Old Style" w:hAnsi="Bookman Old Style"/>
        </w:rPr>
        <w:t>, whatever is the lat</w:t>
      </w:r>
      <w:r w:rsidR="00542E17">
        <w:rPr>
          <w:rFonts w:ascii="Bookman Old Style" w:hAnsi="Bookman Old Style"/>
        </w:rPr>
        <w:t>t</w:t>
      </w:r>
      <w:r w:rsidR="002A7110">
        <w:rPr>
          <w:rFonts w:ascii="Bookman Old Style" w:hAnsi="Bookman Old Style"/>
        </w:rPr>
        <w:t>er</w:t>
      </w:r>
      <w:r w:rsidR="00C15699">
        <w:rPr>
          <w:rStyle w:val="FootnoteReference"/>
          <w:rFonts w:ascii="Bookman Old Style" w:hAnsi="Bookman Old Style"/>
        </w:rPr>
        <w:footnoteReference w:id="15"/>
      </w:r>
      <w:r w:rsidR="00312BAF">
        <w:rPr>
          <w:rFonts w:ascii="Bookman Old Style" w:hAnsi="Bookman Old Style"/>
        </w:rPr>
        <w:t xml:space="preserve">. </w:t>
      </w:r>
    </w:p>
    <w:p w:rsidR="00033163" w:rsidRPr="00033163" w:rsidRDefault="00033163" w:rsidP="00033163">
      <w:pPr>
        <w:spacing w:line="480" w:lineRule="auto"/>
        <w:jc w:val="both"/>
        <w:rPr>
          <w:rFonts w:ascii="Bookman Old Style" w:hAnsi="Bookman Old Style"/>
          <w:b/>
        </w:rPr>
      </w:pPr>
      <w:r>
        <w:rPr>
          <w:rFonts w:ascii="Bookman Old Style" w:hAnsi="Bookman Old Style"/>
          <w:b/>
        </w:rPr>
        <w:t>How is contribution determined and by whom?</w:t>
      </w:r>
    </w:p>
    <w:p w:rsidR="00033163" w:rsidRDefault="00777BBE"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The </w:t>
      </w:r>
      <w:r>
        <w:rPr>
          <w:rFonts w:ascii="Bookman Old Style" w:hAnsi="Bookman Old Style"/>
          <w:i/>
        </w:rPr>
        <w:t xml:space="preserve">Wrongs Act </w:t>
      </w:r>
      <w:r>
        <w:rPr>
          <w:rFonts w:ascii="Bookman Old Style" w:hAnsi="Bookman Old Style"/>
        </w:rPr>
        <w:t xml:space="preserve">provides that a judge or jury may determine contribution. </w:t>
      </w:r>
    </w:p>
    <w:p w:rsidR="00473FC8" w:rsidRDefault="009F548E" w:rsidP="004811B4">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The Court is required to consider what is </w:t>
      </w:r>
      <w:r w:rsidRPr="009F548E">
        <w:rPr>
          <w:rFonts w:ascii="Bookman Old Style" w:hAnsi="Bookman Old Style"/>
        </w:rPr>
        <w:t>‘just’ and ‘equitable’</w:t>
      </w:r>
      <w:r>
        <w:rPr>
          <w:rFonts w:ascii="Bookman Old Style" w:hAnsi="Bookman Old Style"/>
        </w:rPr>
        <w:t xml:space="preserve"> having regard to the </w:t>
      </w:r>
      <w:r w:rsidR="0053248B">
        <w:rPr>
          <w:rFonts w:ascii="Bookman Old Style" w:hAnsi="Bookman Old Style"/>
        </w:rPr>
        <w:t>Plaintiff’s loss</w:t>
      </w:r>
      <w:r w:rsidR="00483AAB">
        <w:rPr>
          <w:rFonts w:ascii="Bookman Old Style" w:hAnsi="Bookman Old Style"/>
        </w:rPr>
        <w:t xml:space="preserve">.  </w:t>
      </w:r>
    </w:p>
    <w:p w:rsidR="005B4A98" w:rsidRDefault="00483AAB" w:rsidP="004564E3">
      <w:pPr>
        <w:pStyle w:val="ListParagraph"/>
        <w:numPr>
          <w:ilvl w:val="0"/>
          <w:numId w:val="1"/>
        </w:numPr>
        <w:spacing w:line="480" w:lineRule="auto"/>
        <w:ind w:hanging="720"/>
        <w:jc w:val="both"/>
        <w:rPr>
          <w:rFonts w:ascii="Bookman Old Style" w:hAnsi="Bookman Old Style"/>
        </w:rPr>
      </w:pPr>
      <w:r>
        <w:rPr>
          <w:rFonts w:ascii="Bookman Old Style" w:hAnsi="Bookman Old Style"/>
        </w:rPr>
        <w:t>The Court i</w:t>
      </w:r>
      <w:r w:rsidR="00A733C3">
        <w:rPr>
          <w:rFonts w:ascii="Bookman Old Style" w:hAnsi="Bookman Old Style"/>
        </w:rPr>
        <w:t xml:space="preserve">s permitted to find </w:t>
      </w:r>
      <w:r w:rsidR="00FE70AB">
        <w:rPr>
          <w:rFonts w:ascii="Bookman Old Style" w:hAnsi="Bookman Old Style"/>
        </w:rPr>
        <w:t>contribution</w:t>
      </w:r>
      <w:r w:rsidR="00A733C3">
        <w:rPr>
          <w:rFonts w:ascii="Bookman Old Style" w:hAnsi="Bookman Old Style"/>
        </w:rPr>
        <w:t xml:space="preserve"> on a scale of 0 to 100% (i.e. up to </w:t>
      </w:r>
      <w:r w:rsidR="001D3F26">
        <w:rPr>
          <w:rFonts w:ascii="Bookman Old Style" w:hAnsi="Bookman Old Style"/>
        </w:rPr>
        <w:t xml:space="preserve">what would amount to </w:t>
      </w:r>
      <w:r w:rsidR="00A733C3">
        <w:rPr>
          <w:rFonts w:ascii="Bookman Old Style" w:hAnsi="Bookman Old Style"/>
        </w:rPr>
        <w:t xml:space="preserve">a complete indemnity against one party). </w:t>
      </w:r>
      <w:r w:rsidR="00473FC8">
        <w:rPr>
          <w:rFonts w:ascii="Bookman Old Style" w:hAnsi="Bookman Old Style"/>
        </w:rPr>
        <w:t xml:space="preserve"> </w:t>
      </w:r>
    </w:p>
    <w:p w:rsidR="00755D6C" w:rsidRDefault="00C717AF" w:rsidP="004564E3">
      <w:pPr>
        <w:pStyle w:val="ListParagraph"/>
        <w:numPr>
          <w:ilvl w:val="0"/>
          <w:numId w:val="1"/>
        </w:numPr>
        <w:spacing w:line="480" w:lineRule="auto"/>
        <w:ind w:hanging="720"/>
        <w:jc w:val="both"/>
        <w:rPr>
          <w:rFonts w:ascii="Bookman Old Style" w:hAnsi="Bookman Old Style"/>
        </w:rPr>
      </w:pPr>
      <w:r>
        <w:rPr>
          <w:rFonts w:ascii="Bookman Old Style" w:hAnsi="Bookman Old Style"/>
        </w:rPr>
        <w:t>It seems a</w:t>
      </w:r>
      <w:r w:rsidR="00BC53E0">
        <w:rPr>
          <w:rFonts w:ascii="Bookman Old Style" w:hAnsi="Bookman Old Style"/>
        </w:rPr>
        <w:t xml:space="preserve"> determination of </w:t>
      </w:r>
      <w:r w:rsidR="00473FC8">
        <w:rPr>
          <w:rFonts w:ascii="Bookman Old Style" w:hAnsi="Bookman Old Style"/>
        </w:rPr>
        <w:t xml:space="preserve">100% </w:t>
      </w:r>
      <w:r w:rsidR="00BC53E0">
        <w:rPr>
          <w:rFonts w:ascii="Bookman Old Style" w:hAnsi="Bookman Old Style"/>
        </w:rPr>
        <w:t xml:space="preserve">contribution </w:t>
      </w:r>
      <w:r w:rsidR="00473FC8">
        <w:rPr>
          <w:rFonts w:ascii="Bookman Old Style" w:hAnsi="Bookman Old Style"/>
        </w:rPr>
        <w:t xml:space="preserve">to one party where two defendants were </w:t>
      </w:r>
      <w:r w:rsidR="00010530">
        <w:rPr>
          <w:rFonts w:ascii="Bookman Old Style" w:hAnsi="Bookman Old Style"/>
        </w:rPr>
        <w:t xml:space="preserve">otherwise </w:t>
      </w:r>
      <w:r w:rsidR="00473FC8">
        <w:rPr>
          <w:rFonts w:ascii="Bookman Old Style" w:hAnsi="Bookman Old Style"/>
        </w:rPr>
        <w:t xml:space="preserve">liable </w:t>
      </w:r>
      <w:r w:rsidR="00453FF9">
        <w:rPr>
          <w:rFonts w:ascii="Bookman Old Style" w:hAnsi="Bookman Old Style"/>
        </w:rPr>
        <w:t xml:space="preserve">to the plaintiff </w:t>
      </w:r>
      <w:r w:rsidR="00473FC8">
        <w:rPr>
          <w:rFonts w:ascii="Bookman Old Style" w:hAnsi="Bookman Old Style"/>
        </w:rPr>
        <w:t xml:space="preserve">would be reserved for the </w:t>
      </w:r>
      <w:r w:rsidR="0043254C">
        <w:rPr>
          <w:rFonts w:ascii="Bookman Old Style" w:hAnsi="Bookman Old Style"/>
        </w:rPr>
        <w:t>rarest of</w:t>
      </w:r>
      <w:r w:rsidR="00473FC8">
        <w:rPr>
          <w:rFonts w:ascii="Bookman Old Style" w:hAnsi="Bookman Old Style"/>
        </w:rPr>
        <w:t xml:space="preserve"> case</w:t>
      </w:r>
      <w:r w:rsidR="003B579C">
        <w:rPr>
          <w:rFonts w:ascii="Bookman Old Style" w:hAnsi="Bookman Old Style"/>
        </w:rPr>
        <w:t>.</w:t>
      </w:r>
      <w:r w:rsidR="00BB6580">
        <w:rPr>
          <w:rFonts w:ascii="Bookman Old Style" w:hAnsi="Bookman Old Style"/>
        </w:rPr>
        <w:t xml:space="preserve">  Cute arguments could be</w:t>
      </w:r>
      <w:r w:rsidR="005B4A98">
        <w:rPr>
          <w:rFonts w:ascii="Bookman Old Style" w:hAnsi="Bookman Old Style"/>
        </w:rPr>
        <w:t xml:space="preserve"> made that an otherwise liable defendant</w:t>
      </w:r>
      <w:r w:rsidR="00BB6580">
        <w:rPr>
          <w:rFonts w:ascii="Bookman Old Style" w:hAnsi="Bookman Old Style"/>
        </w:rPr>
        <w:t xml:space="preserve"> should not have to contribute to the plaintiff’s claim. </w:t>
      </w:r>
      <w:r w:rsidR="003C394A">
        <w:rPr>
          <w:rFonts w:ascii="Bookman Old Style" w:hAnsi="Bookman Old Style"/>
        </w:rPr>
        <w:t xml:space="preserve"> </w:t>
      </w:r>
      <w:r w:rsidR="00235CE2">
        <w:rPr>
          <w:rFonts w:ascii="Bookman Old Style" w:hAnsi="Bookman Old Style"/>
        </w:rPr>
        <w:t xml:space="preserve">Let us say, for instance, that </w:t>
      </w:r>
      <w:r w:rsidR="00735CE7">
        <w:rPr>
          <w:rFonts w:ascii="Bookman Old Style" w:hAnsi="Bookman Old Style"/>
        </w:rPr>
        <w:t>the owner of a small business is also a so-called ‘employee-</w:t>
      </w:r>
      <w:r w:rsidR="00735CE7">
        <w:rPr>
          <w:rFonts w:ascii="Bookman Old Style" w:hAnsi="Bookman Old Style"/>
        </w:rPr>
        <w:lastRenderedPageBreak/>
        <w:t xml:space="preserve">director’.  </w:t>
      </w:r>
      <w:r w:rsidR="00137321">
        <w:rPr>
          <w:rFonts w:ascii="Bookman Old Style" w:hAnsi="Bookman Old Style"/>
        </w:rPr>
        <w:t xml:space="preserve">He </w:t>
      </w:r>
      <w:proofErr w:type="spellStart"/>
      <w:r w:rsidR="00137321">
        <w:rPr>
          <w:rFonts w:ascii="Bookman Old Style" w:hAnsi="Bookman Old Style"/>
        </w:rPr>
        <w:t>sues</w:t>
      </w:r>
      <w:proofErr w:type="spellEnd"/>
      <w:r w:rsidR="00137321">
        <w:rPr>
          <w:rFonts w:ascii="Bookman Old Style" w:hAnsi="Bookman Old Style"/>
        </w:rPr>
        <w:t xml:space="preserve"> his own company as well as a negligent third party.  </w:t>
      </w:r>
      <w:r w:rsidR="00E05B32">
        <w:rPr>
          <w:rFonts w:ascii="Bookman Old Style" w:hAnsi="Bookman Old Style"/>
        </w:rPr>
        <w:t>He is found to have contributed to his own negligence through failing to take care</w:t>
      </w:r>
      <w:r w:rsidR="00176FD9">
        <w:rPr>
          <w:rFonts w:ascii="Bookman Old Style" w:hAnsi="Bookman Old Style"/>
        </w:rPr>
        <w:t xml:space="preserve"> for his own safety</w:t>
      </w:r>
      <w:r w:rsidR="00E05B32">
        <w:rPr>
          <w:rFonts w:ascii="Bookman Old Style" w:hAnsi="Bookman Old Style"/>
        </w:rPr>
        <w:t>.  For that same failure, his ‘employer’</w:t>
      </w:r>
      <w:r w:rsidR="003C394A">
        <w:rPr>
          <w:rFonts w:ascii="Bookman Old Style" w:hAnsi="Bookman Old Style"/>
        </w:rPr>
        <w:t xml:space="preserve"> </w:t>
      </w:r>
      <w:r w:rsidR="00E05B32">
        <w:rPr>
          <w:rFonts w:ascii="Bookman Old Style" w:hAnsi="Bookman Old Style"/>
        </w:rPr>
        <w:t>is found liable</w:t>
      </w:r>
      <w:r w:rsidR="00B006E6">
        <w:rPr>
          <w:rFonts w:ascii="Bookman Old Style" w:hAnsi="Bookman Old Style"/>
        </w:rPr>
        <w:t xml:space="preserve"> for not instructing his employee to take care</w:t>
      </w:r>
      <w:r w:rsidR="00E05B32">
        <w:rPr>
          <w:rFonts w:ascii="Bookman Old Style" w:hAnsi="Bookman Old Style"/>
        </w:rPr>
        <w:t>.</w:t>
      </w:r>
      <w:r w:rsidR="0065578D">
        <w:rPr>
          <w:rFonts w:ascii="Bookman Old Style" w:hAnsi="Bookman Old Style"/>
        </w:rPr>
        <w:t xml:space="preserve">  </w:t>
      </w:r>
      <w:r w:rsidR="003C394A">
        <w:rPr>
          <w:rFonts w:ascii="Bookman Old Style" w:hAnsi="Bookman Old Style"/>
        </w:rPr>
        <w:t xml:space="preserve">It is an </w:t>
      </w:r>
      <w:r w:rsidR="00376BE2">
        <w:rPr>
          <w:rFonts w:ascii="Bookman Old Style" w:hAnsi="Bookman Old Style"/>
        </w:rPr>
        <w:t>artificial legal</w:t>
      </w:r>
      <w:r w:rsidR="003C394A">
        <w:rPr>
          <w:rFonts w:ascii="Bookman Old Style" w:hAnsi="Bookman Old Style"/>
        </w:rPr>
        <w:t xml:space="preserve"> distinction between he is the employer.  </w:t>
      </w:r>
      <w:r w:rsidR="0065578D">
        <w:rPr>
          <w:rFonts w:ascii="Bookman Old Style" w:hAnsi="Bookman Old Style"/>
        </w:rPr>
        <w:t>The third party is also found liable.</w:t>
      </w:r>
      <w:r w:rsidR="00E05B32">
        <w:rPr>
          <w:rFonts w:ascii="Bookman Old Style" w:hAnsi="Bookman Old Style"/>
        </w:rPr>
        <w:t xml:space="preserve">  </w:t>
      </w:r>
      <w:r w:rsidR="008209CB">
        <w:rPr>
          <w:rFonts w:ascii="Bookman Old Style" w:hAnsi="Bookman Old Style"/>
        </w:rPr>
        <w:t xml:space="preserve">Why should the plaintiff </w:t>
      </w:r>
      <w:r w:rsidR="00D91E61">
        <w:rPr>
          <w:rFonts w:ascii="Bookman Old Style" w:hAnsi="Bookman Old Style"/>
        </w:rPr>
        <w:t>have his damages reduced</w:t>
      </w:r>
      <w:r w:rsidR="0015142C">
        <w:rPr>
          <w:rFonts w:ascii="Bookman Old Style" w:hAnsi="Bookman Old Style"/>
        </w:rPr>
        <w:t xml:space="preserve"> for contributory negligence and effectively have to contribute to </w:t>
      </w:r>
      <w:r w:rsidR="00013E52">
        <w:rPr>
          <w:rFonts w:ascii="Bookman Old Style" w:hAnsi="Bookman Old Style"/>
        </w:rPr>
        <w:t>his claim through his employer</w:t>
      </w:r>
      <w:r w:rsidR="00F94018">
        <w:rPr>
          <w:rFonts w:ascii="Bookman Old Style" w:hAnsi="Bookman Old Style"/>
        </w:rPr>
        <w:t>, putting insurance coverage to one side</w:t>
      </w:r>
      <w:r w:rsidR="00013E52">
        <w:rPr>
          <w:rFonts w:ascii="Bookman Old Style" w:hAnsi="Bookman Old Style"/>
        </w:rPr>
        <w:t>?</w:t>
      </w:r>
      <w:r w:rsidR="00FC7BA3">
        <w:rPr>
          <w:rFonts w:ascii="Bookman Old Style" w:hAnsi="Bookman Old Style"/>
        </w:rPr>
        <w:t xml:space="preserve">  Should that liable fall </w:t>
      </w:r>
      <w:r w:rsidR="004507DD">
        <w:rPr>
          <w:rFonts w:ascii="Bookman Old Style" w:hAnsi="Bookman Old Style"/>
        </w:rPr>
        <w:t>wholly</w:t>
      </w:r>
      <w:r w:rsidR="00014F3E">
        <w:rPr>
          <w:rFonts w:ascii="Bookman Old Style" w:hAnsi="Bookman Old Style"/>
        </w:rPr>
        <w:t xml:space="preserve"> </w:t>
      </w:r>
      <w:r w:rsidR="004507DD">
        <w:rPr>
          <w:rFonts w:ascii="Bookman Old Style" w:hAnsi="Bookman Old Style"/>
        </w:rPr>
        <w:t>on</w:t>
      </w:r>
      <w:r w:rsidR="00FC7BA3">
        <w:rPr>
          <w:rFonts w:ascii="Bookman Old Style" w:hAnsi="Bookman Old Style"/>
        </w:rPr>
        <w:t xml:space="preserve"> the third party</w:t>
      </w:r>
      <w:r w:rsidR="00411C87">
        <w:rPr>
          <w:rFonts w:ascii="Bookman Old Style" w:hAnsi="Bookman Old Style"/>
        </w:rPr>
        <w:t xml:space="preserve"> because that is what is just and equitable in those unique circumstances</w:t>
      </w:r>
      <w:r w:rsidR="00FC7BA3">
        <w:rPr>
          <w:rFonts w:ascii="Bookman Old Style" w:hAnsi="Bookman Old Style"/>
        </w:rPr>
        <w:t>?</w:t>
      </w:r>
      <w:r w:rsidR="003615F4">
        <w:rPr>
          <w:rStyle w:val="FootnoteReference"/>
          <w:rFonts w:ascii="Bookman Old Style" w:hAnsi="Bookman Old Style"/>
        </w:rPr>
        <w:footnoteReference w:id="16"/>
      </w:r>
      <w:r w:rsidR="003B579C">
        <w:rPr>
          <w:rFonts w:ascii="Bookman Old Style" w:hAnsi="Bookman Old Style"/>
        </w:rPr>
        <w:t xml:space="preserve"> </w:t>
      </w:r>
      <w:r w:rsidR="00CE4FC0">
        <w:rPr>
          <w:rFonts w:ascii="Bookman Old Style" w:hAnsi="Bookman Old Style"/>
        </w:rPr>
        <w:t xml:space="preserve"> </w:t>
      </w:r>
    </w:p>
    <w:p w:rsidR="00FA510C" w:rsidRPr="00FA510C" w:rsidRDefault="00167BE7" w:rsidP="00FA510C">
      <w:pPr>
        <w:pStyle w:val="ListParagraph"/>
        <w:numPr>
          <w:ilvl w:val="0"/>
          <w:numId w:val="1"/>
        </w:numPr>
        <w:spacing w:line="480" w:lineRule="auto"/>
        <w:ind w:hanging="720"/>
        <w:jc w:val="both"/>
        <w:rPr>
          <w:rFonts w:ascii="Bookman Old Style" w:hAnsi="Bookman Old Style"/>
        </w:rPr>
      </w:pPr>
      <w:r>
        <w:rPr>
          <w:rFonts w:ascii="Bookman Old Style" w:hAnsi="Bookman Old Style"/>
        </w:rPr>
        <w:t xml:space="preserve">What is </w:t>
      </w:r>
      <w:r w:rsidRPr="009F548E">
        <w:rPr>
          <w:rFonts w:ascii="Bookman Old Style" w:hAnsi="Bookman Old Style"/>
        </w:rPr>
        <w:t>‘just’ and ‘equitable’</w:t>
      </w:r>
      <w:r>
        <w:rPr>
          <w:rFonts w:ascii="Bookman Old Style" w:hAnsi="Bookman Old Style"/>
        </w:rPr>
        <w:t xml:space="preserve"> </w:t>
      </w:r>
      <w:r w:rsidR="001B1FE2">
        <w:rPr>
          <w:rFonts w:ascii="Bookman Old Style" w:hAnsi="Bookman Old Style"/>
        </w:rPr>
        <w:t xml:space="preserve">when divvying up contribution </w:t>
      </w:r>
      <w:r>
        <w:rPr>
          <w:rFonts w:ascii="Bookman Old Style" w:hAnsi="Bookman Old Style"/>
        </w:rPr>
        <w:t xml:space="preserve">should be the subject of </w:t>
      </w:r>
      <w:r w:rsidR="001B1FE2">
        <w:rPr>
          <w:rFonts w:ascii="Bookman Old Style" w:hAnsi="Bookman Old Style"/>
        </w:rPr>
        <w:t>its own paper</w:t>
      </w:r>
      <w:r>
        <w:rPr>
          <w:rFonts w:ascii="Bookman Old Style" w:hAnsi="Bookman Old Style"/>
        </w:rPr>
        <w:t xml:space="preserve">. </w:t>
      </w:r>
      <w:r w:rsidR="004D6FEE">
        <w:rPr>
          <w:rFonts w:ascii="Bookman Old Style" w:hAnsi="Bookman Old Style"/>
        </w:rPr>
        <w:t xml:space="preserve"> </w:t>
      </w:r>
      <w:r w:rsidR="00FA510C">
        <w:rPr>
          <w:rFonts w:ascii="Bookman Old Style" w:hAnsi="Bookman Old Style"/>
        </w:rPr>
        <w:t>However, it is probably best summed up by considering the Civil Juries Charge Book, which offers:</w:t>
      </w:r>
    </w:p>
    <w:p w:rsidR="00FA510C" w:rsidRPr="00FA510C" w:rsidRDefault="00FA510C" w:rsidP="00FA510C">
      <w:pPr>
        <w:pStyle w:val="ListParagraph"/>
        <w:spacing w:line="480" w:lineRule="auto"/>
        <w:ind w:left="1134" w:right="521"/>
        <w:jc w:val="both"/>
        <w:rPr>
          <w:rFonts w:ascii="Bookman Old Style" w:hAnsi="Bookman Old Style"/>
          <w:i/>
        </w:rPr>
      </w:pPr>
      <w:r>
        <w:rPr>
          <w:rFonts w:ascii="Bookman Old Style" w:hAnsi="Bookman Old Style"/>
        </w:rPr>
        <w:t>“</w:t>
      </w:r>
      <w:r w:rsidRPr="00FA510C">
        <w:rPr>
          <w:rFonts w:ascii="Bookman Old Style" w:hAnsi="Bookman Old Style"/>
          <w:i/>
        </w:rPr>
        <w:t xml:space="preserve">You would need to consider, in deciding to what extent it was just and equitable that one defendant should recover contribution from the other, the extent to which each defendant, in your judgment, fell short of taking that care for the plaintiff which it should have taken in all the circumstances. In considering that matter, it would be appropriate to </w:t>
      </w:r>
      <w:proofErr w:type="gramStart"/>
      <w:r w:rsidRPr="00FA510C">
        <w:rPr>
          <w:rFonts w:ascii="Bookman Old Style" w:hAnsi="Bookman Old Style"/>
          <w:i/>
        </w:rPr>
        <w:t>take into account</w:t>
      </w:r>
      <w:proofErr w:type="gramEnd"/>
      <w:r w:rsidRPr="00FA510C">
        <w:rPr>
          <w:rFonts w:ascii="Bookman Old Style" w:hAnsi="Bookman Old Style"/>
          <w:i/>
        </w:rPr>
        <w:t xml:space="preserve"> whether, in your view, one defendant had greater control over the situation than the other.</w:t>
      </w:r>
    </w:p>
    <w:p w:rsidR="00916C28" w:rsidRPr="00C12850" w:rsidRDefault="00FA510C" w:rsidP="00C12850">
      <w:pPr>
        <w:pStyle w:val="ListParagraph"/>
        <w:spacing w:line="480" w:lineRule="auto"/>
        <w:ind w:left="1134" w:right="521"/>
        <w:jc w:val="both"/>
        <w:rPr>
          <w:rFonts w:ascii="Bookman Old Style" w:hAnsi="Bookman Old Style"/>
          <w:i/>
        </w:rPr>
      </w:pPr>
      <w:r w:rsidRPr="00FA510C">
        <w:rPr>
          <w:rFonts w:ascii="Bookman Old Style" w:hAnsi="Bookman Old Style"/>
          <w:i/>
        </w:rPr>
        <w:t>You would also need to consider, in deciding that matter, the importance of the conduct of each defendant in causing the accident and the p</w:t>
      </w:r>
      <w:r w:rsidRPr="00C12850">
        <w:rPr>
          <w:rFonts w:ascii="Bookman Old Style" w:hAnsi="Bookman Old Style"/>
          <w:i/>
        </w:rPr>
        <w:t>laintiff’s injuries</w:t>
      </w:r>
      <w:r w:rsidR="00BA641B" w:rsidRPr="00C12850">
        <w:rPr>
          <w:rFonts w:ascii="Bookman Old Style" w:hAnsi="Bookman Old Style"/>
          <w:i/>
        </w:rPr>
        <w:t>…</w:t>
      </w:r>
      <w:r w:rsidRPr="00C12850">
        <w:rPr>
          <w:rFonts w:ascii="Bookman Old Style" w:hAnsi="Bookman Old Style"/>
        </w:rPr>
        <w:t xml:space="preserve">” </w:t>
      </w:r>
    </w:p>
    <w:p w:rsidR="00C12850" w:rsidRDefault="00C12850" w:rsidP="00973CDC">
      <w:pPr>
        <w:spacing w:line="360" w:lineRule="auto"/>
        <w:jc w:val="right"/>
        <w:rPr>
          <w:rFonts w:ascii="Bookman Old Style" w:hAnsi="Bookman Old Style"/>
          <w:b/>
        </w:rPr>
      </w:pPr>
    </w:p>
    <w:p w:rsidR="00C12850" w:rsidRDefault="00C12850" w:rsidP="00973CDC">
      <w:pPr>
        <w:spacing w:line="360" w:lineRule="auto"/>
        <w:jc w:val="right"/>
        <w:rPr>
          <w:rFonts w:ascii="Bookman Old Style" w:hAnsi="Bookman Old Style"/>
          <w:b/>
        </w:rPr>
      </w:pPr>
      <w:bookmarkStart w:id="0" w:name="_GoBack"/>
      <w:bookmarkEnd w:id="0"/>
    </w:p>
    <w:p w:rsidR="0063373F" w:rsidRDefault="0063373F" w:rsidP="00973CDC">
      <w:pPr>
        <w:spacing w:line="360" w:lineRule="auto"/>
        <w:jc w:val="right"/>
        <w:rPr>
          <w:rFonts w:ascii="Bookman Old Style" w:hAnsi="Bookman Old Style"/>
          <w:b/>
        </w:rPr>
      </w:pPr>
    </w:p>
    <w:p w:rsidR="00BA641B" w:rsidRDefault="00BA641B" w:rsidP="00973CDC">
      <w:pPr>
        <w:spacing w:line="360" w:lineRule="auto"/>
        <w:jc w:val="right"/>
        <w:rPr>
          <w:rFonts w:ascii="Bookman Old Style" w:hAnsi="Bookman Old Style"/>
          <w:b/>
        </w:rPr>
      </w:pPr>
      <w:r w:rsidRPr="0079328E">
        <w:rPr>
          <w:rFonts w:ascii="Bookman Old Style" w:hAnsi="Bookman Old Style"/>
          <w:b/>
        </w:rPr>
        <w:t>PETER HAMILTON</w:t>
      </w:r>
    </w:p>
    <w:p w:rsidR="0055774D" w:rsidRPr="0063373F" w:rsidRDefault="0063373F" w:rsidP="0063373F">
      <w:pPr>
        <w:tabs>
          <w:tab w:val="left" w:pos="3675"/>
          <w:tab w:val="right" w:pos="9026"/>
        </w:tabs>
        <w:spacing w:line="360" w:lineRule="auto"/>
        <w:rPr>
          <w:rFonts w:ascii="Bookman Old Style" w:hAnsi="Bookman Old Style"/>
        </w:rPr>
      </w:pPr>
      <w:r w:rsidRPr="0063373F">
        <w:rPr>
          <w:rFonts w:ascii="Bookman Old Style" w:hAnsi="Bookman Old Style"/>
        </w:rPr>
        <w:tab/>
      </w:r>
      <w:r w:rsidRPr="0063373F">
        <w:rPr>
          <w:rFonts w:ascii="Bookman Old Style" w:hAnsi="Bookman Old Style"/>
        </w:rPr>
        <w:tab/>
      </w:r>
      <w:r w:rsidR="0055774D" w:rsidRPr="0063373F">
        <w:rPr>
          <w:rFonts w:ascii="Bookman Old Style" w:hAnsi="Bookman Old Style"/>
        </w:rPr>
        <w:t>OWEN DIXON CHAMBERS WEST</w:t>
      </w:r>
    </w:p>
    <w:p w:rsidR="00BA641B" w:rsidRPr="00BA641B" w:rsidRDefault="00116DBB" w:rsidP="00176FD9">
      <w:pPr>
        <w:spacing w:line="360" w:lineRule="auto"/>
        <w:jc w:val="right"/>
        <w:rPr>
          <w:rFonts w:ascii="Bookman Old Style" w:hAnsi="Bookman Old Style"/>
        </w:rPr>
      </w:pPr>
      <w:r>
        <w:rPr>
          <w:rFonts w:ascii="Bookman Old Style" w:hAnsi="Bookman Old Style"/>
        </w:rPr>
        <w:t>9 June</w:t>
      </w:r>
      <w:r w:rsidR="009A7A40">
        <w:rPr>
          <w:rFonts w:ascii="Bookman Old Style" w:hAnsi="Bookman Old Style"/>
        </w:rPr>
        <w:t xml:space="preserve"> 2016</w:t>
      </w:r>
    </w:p>
    <w:sectPr w:rsidR="00BA641B" w:rsidRPr="00BA64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7B" w:rsidRDefault="006D7E7B" w:rsidP="005A2384">
      <w:pPr>
        <w:spacing w:after="0" w:line="240" w:lineRule="auto"/>
      </w:pPr>
      <w:r>
        <w:separator/>
      </w:r>
    </w:p>
  </w:endnote>
  <w:endnote w:type="continuationSeparator" w:id="0">
    <w:p w:rsidR="006D7E7B" w:rsidRDefault="006D7E7B" w:rsidP="005A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05023"/>
      <w:docPartObj>
        <w:docPartGallery w:val="Page Numbers (Bottom of Page)"/>
        <w:docPartUnique/>
      </w:docPartObj>
    </w:sdtPr>
    <w:sdtEndPr>
      <w:rPr>
        <w:noProof/>
      </w:rPr>
    </w:sdtEndPr>
    <w:sdtContent>
      <w:p w:rsidR="008946AB" w:rsidRDefault="008946AB">
        <w:pPr>
          <w:pStyle w:val="Footer"/>
          <w:jc w:val="center"/>
        </w:pPr>
        <w:r>
          <w:fldChar w:fldCharType="begin"/>
        </w:r>
        <w:r>
          <w:instrText xml:space="preserve"> PAGE   \* MERGEFORMAT </w:instrText>
        </w:r>
        <w:r>
          <w:fldChar w:fldCharType="separate"/>
        </w:r>
        <w:r w:rsidR="0089641C">
          <w:rPr>
            <w:noProof/>
          </w:rPr>
          <w:t>1</w:t>
        </w:r>
        <w:r>
          <w:rPr>
            <w:noProof/>
          </w:rPr>
          <w:fldChar w:fldCharType="end"/>
        </w:r>
      </w:p>
    </w:sdtContent>
  </w:sdt>
  <w:p w:rsidR="008946AB" w:rsidRDefault="0089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7B" w:rsidRDefault="006D7E7B" w:rsidP="005A2384">
      <w:pPr>
        <w:spacing w:after="0" w:line="240" w:lineRule="auto"/>
      </w:pPr>
      <w:r>
        <w:separator/>
      </w:r>
    </w:p>
  </w:footnote>
  <w:footnote w:type="continuationSeparator" w:id="0">
    <w:p w:rsidR="006D7E7B" w:rsidRDefault="006D7E7B" w:rsidP="005A2384">
      <w:pPr>
        <w:spacing w:after="0" w:line="240" w:lineRule="auto"/>
      </w:pPr>
      <w:r>
        <w:continuationSeparator/>
      </w:r>
    </w:p>
  </w:footnote>
  <w:footnote w:id="1">
    <w:p w:rsidR="00924118" w:rsidRPr="00924118" w:rsidRDefault="00924118">
      <w:pPr>
        <w:pStyle w:val="FootnoteText"/>
        <w:rPr>
          <w:rFonts w:ascii="Bookman Old Style" w:hAnsi="Bookman Old Style"/>
        </w:rPr>
      </w:pPr>
      <w:r w:rsidRPr="00924118">
        <w:rPr>
          <w:rStyle w:val="FootnoteReference"/>
          <w:rFonts w:ascii="Bookman Old Style" w:hAnsi="Bookman Old Style"/>
        </w:rPr>
        <w:footnoteRef/>
      </w:r>
      <w:r w:rsidRPr="00924118">
        <w:rPr>
          <w:rFonts w:ascii="Bookman Old Style" w:hAnsi="Bookman Old Style"/>
        </w:rPr>
        <w:t xml:space="preserve"> </w:t>
      </w:r>
      <w:r w:rsidRPr="00924118">
        <w:rPr>
          <w:rFonts w:ascii="Bookman Old Style" w:hAnsi="Bookman Old Style"/>
        </w:rPr>
        <w:tab/>
      </w:r>
      <w:hyperlink r:id="rId1" w:history="1">
        <w:r w:rsidRPr="00924118">
          <w:rPr>
            <w:rStyle w:val="Hyperlink"/>
            <w:rFonts w:ascii="Bookman Old Style" w:hAnsi="Bookman Old Style"/>
          </w:rPr>
          <w:t>http://www.worldlii.org/int/cases/EngR/1799/669.pdf</w:t>
        </w:r>
      </w:hyperlink>
      <w:r w:rsidRPr="00924118">
        <w:rPr>
          <w:rFonts w:ascii="Bookman Old Style" w:hAnsi="Bookman Old Style"/>
        </w:rPr>
        <w:t xml:space="preserve">. </w:t>
      </w:r>
    </w:p>
  </w:footnote>
  <w:footnote w:id="2">
    <w:p w:rsidR="008445C2" w:rsidRPr="008445C2" w:rsidRDefault="008445C2">
      <w:pPr>
        <w:pStyle w:val="FootnoteText"/>
        <w:rPr>
          <w:rFonts w:ascii="Bookman Old Style" w:hAnsi="Bookman Old Style"/>
        </w:rPr>
      </w:pPr>
      <w:r w:rsidRPr="008445C2">
        <w:rPr>
          <w:rStyle w:val="FootnoteReference"/>
          <w:rFonts w:ascii="Bookman Old Style" w:hAnsi="Bookman Old Style"/>
        </w:rPr>
        <w:footnoteRef/>
      </w:r>
      <w:r w:rsidRPr="008445C2">
        <w:rPr>
          <w:rFonts w:ascii="Bookman Old Style" w:hAnsi="Bookman Old Style"/>
        </w:rPr>
        <w:t xml:space="preserve"> </w:t>
      </w:r>
      <w:r w:rsidRPr="008445C2">
        <w:rPr>
          <w:rFonts w:ascii="Bookman Old Style" w:hAnsi="Bookman Old Style"/>
        </w:rPr>
        <w:tab/>
      </w:r>
      <w:r>
        <w:rPr>
          <w:rFonts w:ascii="Bookman Old Style" w:hAnsi="Bookman Old Style"/>
        </w:rPr>
        <w:t xml:space="preserve">See the discussion of exceptions in </w:t>
      </w:r>
      <w:r w:rsidRPr="00D534D3">
        <w:rPr>
          <w:rFonts w:ascii="Bookman Old Style" w:hAnsi="Bookman Old Style"/>
          <w:i/>
        </w:rPr>
        <w:t>Belan v Casey</w:t>
      </w:r>
      <w:r w:rsidRPr="008445C2">
        <w:rPr>
          <w:rFonts w:ascii="Bookman Old Style" w:hAnsi="Bookman Old Style"/>
        </w:rPr>
        <w:t xml:space="preserve"> [2003] NSWSC 159</w:t>
      </w:r>
      <w:r w:rsidR="00F50242">
        <w:rPr>
          <w:rFonts w:ascii="Bookman Old Style" w:hAnsi="Bookman Old Style"/>
        </w:rPr>
        <w:t xml:space="preserve">. </w:t>
      </w:r>
    </w:p>
  </w:footnote>
  <w:footnote w:id="3">
    <w:p w:rsidR="00221F3D" w:rsidRPr="00B30622" w:rsidRDefault="00221F3D">
      <w:pPr>
        <w:pStyle w:val="FootnoteText"/>
        <w:rPr>
          <w:rFonts w:ascii="Bookman Old Style" w:hAnsi="Bookman Old Style"/>
        </w:rPr>
      </w:pPr>
      <w:r w:rsidRPr="00B30622">
        <w:rPr>
          <w:rStyle w:val="FootnoteReference"/>
          <w:rFonts w:ascii="Bookman Old Style" w:hAnsi="Bookman Old Style"/>
        </w:rPr>
        <w:footnoteRef/>
      </w:r>
      <w:r w:rsidRPr="00B30622">
        <w:rPr>
          <w:rFonts w:ascii="Bookman Old Style" w:hAnsi="Bookman Old Style"/>
        </w:rPr>
        <w:t xml:space="preserve"> </w:t>
      </w:r>
      <w:r w:rsidRPr="00B30622">
        <w:rPr>
          <w:rFonts w:ascii="Bookman Old Style" w:hAnsi="Bookman Old Style"/>
        </w:rPr>
        <w:tab/>
      </w:r>
      <w:r w:rsidRPr="00B30622">
        <w:rPr>
          <w:rFonts w:ascii="Bookman Old Style" w:hAnsi="Bookman Old Style"/>
          <w:i/>
        </w:rPr>
        <w:t>Ibid</w:t>
      </w:r>
      <w:r w:rsidRPr="00B30622">
        <w:rPr>
          <w:rFonts w:ascii="Bookman Old Style" w:hAnsi="Bookman Old Style"/>
        </w:rPr>
        <w:t xml:space="preserve">. </w:t>
      </w:r>
    </w:p>
  </w:footnote>
  <w:footnote w:id="4">
    <w:p w:rsidR="00786D7E" w:rsidRPr="00786D7E" w:rsidRDefault="00786D7E" w:rsidP="00786D7E">
      <w:pPr>
        <w:pStyle w:val="FootnoteText"/>
        <w:ind w:left="709" w:hanging="709"/>
        <w:rPr>
          <w:rFonts w:ascii="Bookman Old Style" w:hAnsi="Bookman Old Style"/>
        </w:rPr>
      </w:pPr>
      <w:r w:rsidRPr="00786D7E">
        <w:rPr>
          <w:rStyle w:val="FootnoteReference"/>
          <w:rFonts w:ascii="Bookman Old Style" w:hAnsi="Bookman Old Style"/>
        </w:rPr>
        <w:footnoteRef/>
      </w:r>
      <w:r w:rsidRPr="00786D7E">
        <w:rPr>
          <w:rFonts w:ascii="Bookman Old Style" w:hAnsi="Bookman Old Style"/>
        </w:rPr>
        <w:t xml:space="preserve"> </w:t>
      </w:r>
      <w:r w:rsidRPr="00786D7E">
        <w:rPr>
          <w:rFonts w:ascii="Bookman Old Style" w:hAnsi="Bookman Old Style"/>
        </w:rPr>
        <w:tab/>
        <w:t xml:space="preserve">See for example </w:t>
      </w:r>
      <w:r w:rsidRPr="00786D7E">
        <w:rPr>
          <w:rFonts w:ascii="Bookman Old Style" w:hAnsi="Bookman Old Style"/>
          <w:i/>
        </w:rPr>
        <w:t>Albion Insurance Co Ltd v Government Insurance Office</w:t>
      </w:r>
      <w:r w:rsidRPr="00786D7E">
        <w:rPr>
          <w:rFonts w:ascii="Bookman Old Style" w:hAnsi="Bookman Old Style"/>
        </w:rPr>
        <w:t xml:space="preserve"> </w:t>
      </w:r>
      <w:r w:rsidRPr="00786D7E">
        <w:rPr>
          <w:rFonts w:ascii="Bookman Old Style" w:hAnsi="Bookman Old Style"/>
          <w:i/>
        </w:rPr>
        <w:t xml:space="preserve">(NSW) </w:t>
      </w:r>
      <w:r w:rsidRPr="00786D7E">
        <w:rPr>
          <w:rFonts w:ascii="Bookman Old Style" w:hAnsi="Bookman Old Style"/>
        </w:rPr>
        <w:t>[1969] HCA 55</w:t>
      </w:r>
      <w:r>
        <w:rPr>
          <w:rFonts w:ascii="Bookman Old Style" w:hAnsi="Bookman Old Style"/>
        </w:rPr>
        <w:t>.</w:t>
      </w:r>
    </w:p>
  </w:footnote>
  <w:footnote w:id="5">
    <w:p w:rsidR="00A836D7" w:rsidRPr="00BE2512" w:rsidRDefault="00A836D7" w:rsidP="00A836D7">
      <w:pPr>
        <w:pStyle w:val="FootnoteText"/>
        <w:ind w:left="709" w:hanging="709"/>
        <w:jc w:val="both"/>
        <w:rPr>
          <w:rFonts w:ascii="Bookman Old Style" w:hAnsi="Bookman Old Style"/>
        </w:rPr>
      </w:pPr>
      <w:r w:rsidRPr="00134972">
        <w:rPr>
          <w:rStyle w:val="FootnoteReference"/>
          <w:rFonts w:ascii="Bookman Old Style" w:hAnsi="Bookman Old Style"/>
        </w:rPr>
        <w:footnoteRef/>
      </w:r>
      <w:r w:rsidRPr="00134972">
        <w:rPr>
          <w:rFonts w:ascii="Bookman Old Style" w:hAnsi="Bookman Old Style"/>
        </w:rPr>
        <w:t xml:space="preserve"> </w:t>
      </w:r>
      <w:r w:rsidRPr="00134972">
        <w:rPr>
          <w:rFonts w:ascii="Bookman Old Style" w:hAnsi="Bookman Old Style"/>
        </w:rPr>
        <w:tab/>
      </w:r>
      <w:r>
        <w:rPr>
          <w:rFonts w:ascii="Bookman Old Style" w:hAnsi="Bookman Old Style"/>
        </w:rPr>
        <w:t>The cause of action</w:t>
      </w:r>
      <w:r w:rsidR="00946374">
        <w:rPr>
          <w:rFonts w:ascii="Bookman Old Style" w:hAnsi="Bookman Old Style"/>
        </w:rPr>
        <w:t xml:space="preserve"> under the </w:t>
      </w:r>
      <w:r w:rsidR="00946374">
        <w:rPr>
          <w:rFonts w:ascii="Bookman Old Style" w:hAnsi="Bookman Old Style"/>
          <w:i/>
        </w:rPr>
        <w:t>Wrongs Act</w:t>
      </w:r>
      <w:r>
        <w:rPr>
          <w:rFonts w:ascii="Bookman Old Style" w:hAnsi="Bookman Old Style"/>
        </w:rPr>
        <w:t xml:space="preserve"> is a statutory one.  The Court noted in </w:t>
      </w:r>
      <w:r w:rsidRPr="00134972">
        <w:rPr>
          <w:rFonts w:ascii="Bookman Old Style" w:hAnsi="Bookman Old Style"/>
          <w:i/>
        </w:rPr>
        <w:t>V</w:t>
      </w:r>
      <w:r w:rsidRPr="00134972">
        <w:rPr>
          <w:rFonts w:ascii="Bookman Old Style" w:hAnsi="Bookman Old Style"/>
          <w:bCs/>
          <w:i/>
        </w:rPr>
        <w:t>an Win Pty Ltd v Eleventh Mirontron Pty Ltd</w:t>
      </w:r>
      <w:r w:rsidRPr="00134972">
        <w:rPr>
          <w:rFonts w:ascii="Bookman Old Style" w:hAnsi="Bookman Old Style"/>
          <w:bCs/>
        </w:rPr>
        <w:t xml:space="preserve"> [1986] VR 49</w:t>
      </w:r>
      <w:r>
        <w:rPr>
          <w:rFonts w:ascii="Bookman Old Style" w:hAnsi="Bookman Old Style"/>
          <w:bCs/>
        </w:rPr>
        <w:t xml:space="preserve"> that this is</w:t>
      </w:r>
      <w:r w:rsidRPr="00134972">
        <w:rPr>
          <w:rFonts w:ascii="Bookman Old Style" w:hAnsi="Bookman Old Style"/>
        </w:rPr>
        <w:t xml:space="preserve"> “</w:t>
      </w:r>
      <w:r w:rsidRPr="00A22A0B">
        <w:rPr>
          <w:rFonts w:ascii="Bookman Old Style" w:hAnsi="Bookman Old Style"/>
          <w:i/>
        </w:rPr>
        <w:t>a cause of action for contribution conferred by statute and not founded in tort</w:t>
      </w:r>
      <w:r>
        <w:rPr>
          <w:rFonts w:ascii="Bookman Old Style" w:hAnsi="Bookman Old Style"/>
        </w:rPr>
        <w:t xml:space="preserve"> [or other causes of action]”.  This does not mean that there are no rights to contribution in equity in cases that do not fall within Part IV of the </w:t>
      </w:r>
      <w:r>
        <w:rPr>
          <w:rFonts w:ascii="Bookman Old Style" w:hAnsi="Bookman Old Style"/>
          <w:i/>
        </w:rPr>
        <w:t>Wrongs Act</w:t>
      </w:r>
      <w:r>
        <w:rPr>
          <w:rFonts w:ascii="Bookman Old Style" w:hAnsi="Bookman Old Style"/>
        </w:rPr>
        <w:t xml:space="preserve">.  See, for example, </w:t>
      </w:r>
      <w:r w:rsidRPr="00BE2512">
        <w:rPr>
          <w:rFonts w:ascii="Bookman Old Style" w:hAnsi="Bookman Old Style"/>
          <w:i/>
        </w:rPr>
        <w:t>Edingbay Pty Ltd v Aroni Colman; National Australia Bank Ltd; Horwath (Vic) Pty Ltd</w:t>
      </w:r>
      <w:r w:rsidRPr="00BE2512">
        <w:rPr>
          <w:rFonts w:ascii="Bookman Old Style" w:hAnsi="Bookman Old Style"/>
        </w:rPr>
        <w:t xml:space="preserve"> [1999] VSC 216</w:t>
      </w:r>
      <w:r w:rsidR="00D16783">
        <w:rPr>
          <w:rFonts w:ascii="Bookman Old Style" w:hAnsi="Bookman Old Style"/>
        </w:rPr>
        <w:t xml:space="preserve"> from paragraph 19</w:t>
      </w:r>
      <w:r w:rsidR="00D80B31">
        <w:rPr>
          <w:rFonts w:ascii="Bookman Old Style" w:hAnsi="Bookman Old Style"/>
        </w:rPr>
        <w:t xml:space="preserve">. </w:t>
      </w:r>
    </w:p>
  </w:footnote>
  <w:footnote w:id="6">
    <w:p w:rsidR="00A836D7" w:rsidRPr="00664FA6" w:rsidRDefault="00A836D7" w:rsidP="00A836D7">
      <w:pPr>
        <w:pStyle w:val="FootnoteText"/>
        <w:ind w:left="709" w:hanging="709"/>
        <w:jc w:val="both"/>
        <w:rPr>
          <w:rFonts w:ascii="Bookman Old Style" w:hAnsi="Bookman Old Style"/>
        </w:rPr>
      </w:pPr>
      <w:r w:rsidRPr="00664FA6">
        <w:rPr>
          <w:rStyle w:val="FootnoteReference"/>
          <w:rFonts w:ascii="Bookman Old Style" w:hAnsi="Bookman Old Style"/>
        </w:rPr>
        <w:footnoteRef/>
      </w:r>
      <w:r w:rsidRPr="00664FA6">
        <w:rPr>
          <w:rFonts w:ascii="Bookman Old Style" w:hAnsi="Bookman Old Style"/>
        </w:rPr>
        <w:t xml:space="preserve"> </w:t>
      </w:r>
      <w:r w:rsidRPr="00664FA6">
        <w:rPr>
          <w:rFonts w:ascii="Bookman Old Style" w:hAnsi="Bookman Old Style"/>
        </w:rPr>
        <w:tab/>
        <w:t xml:space="preserve">Proportionate liability provisions are not dealt with in this paper, but see Part </w:t>
      </w:r>
      <w:proofErr w:type="spellStart"/>
      <w:r w:rsidRPr="00664FA6">
        <w:rPr>
          <w:rFonts w:ascii="Bookman Old Style" w:hAnsi="Bookman Old Style"/>
        </w:rPr>
        <w:t>IVAA</w:t>
      </w:r>
      <w:proofErr w:type="spellEnd"/>
      <w:r w:rsidRPr="00664FA6">
        <w:rPr>
          <w:rFonts w:ascii="Bookman Old Style" w:hAnsi="Bookman Old Style"/>
        </w:rPr>
        <w:t xml:space="preserve"> for its application.</w:t>
      </w:r>
    </w:p>
  </w:footnote>
  <w:footnote w:id="7">
    <w:p w:rsidR="002744EE" w:rsidRPr="00EB6A32" w:rsidRDefault="002744EE" w:rsidP="00EB6A32">
      <w:pPr>
        <w:pStyle w:val="FootnoteText"/>
        <w:ind w:left="709" w:hanging="709"/>
        <w:rPr>
          <w:rFonts w:ascii="Bookman Old Style" w:hAnsi="Bookman Old Style"/>
        </w:rPr>
      </w:pPr>
      <w:r w:rsidRPr="00EB6A32">
        <w:rPr>
          <w:rStyle w:val="FootnoteReference"/>
          <w:rFonts w:ascii="Bookman Old Style" w:hAnsi="Bookman Old Style"/>
        </w:rPr>
        <w:footnoteRef/>
      </w:r>
      <w:r w:rsidRPr="00EB6A32">
        <w:rPr>
          <w:rFonts w:ascii="Bookman Old Style" w:hAnsi="Bookman Old Style"/>
        </w:rPr>
        <w:t xml:space="preserve"> </w:t>
      </w:r>
      <w:r w:rsidRPr="00EB6A32">
        <w:rPr>
          <w:rFonts w:ascii="Bookman Old Style" w:hAnsi="Bookman Old Style"/>
        </w:rPr>
        <w:tab/>
        <w:t xml:space="preserve">Although </w:t>
      </w:r>
      <w:r w:rsidR="00106DD4">
        <w:rPr>
          <w:rFonts w:ascii="Bookman Old Style" w:hAnsi="Bookman Old Style"/>
        </w:rPr>
        <w:t>strictly speaking a</w:t>
      </w:r>
      <w:r w:rsidR="00FF2C1B" w:rsidRPr="00EB6A32">
        <w:rPr>
          <w:rFonts w:ascii="Bookman Old Style" w:hAnsi="Bookman Old Style"/>
        </w:rPr>
        <w:t xml:space="preserve"> defendant can make such an application under </w:t>
      </w:r>
      <w:r w:rsidR="00FC4458" w:rsidRPr="00EB6A32">
        <w:rPr>
          <w:rFonts w:ascii="Bookman Old Style" w:hAnsi="Bookman Old Style"/>
        </w:rPr>
        <w:t xml:space="preserve">Order 9 of the </w:t>
      </w:r>
      <w:r w:rsidR="00FC4458" w:rsidRPr="00EB6A32">
        <w:rPr>
          <w:rFonts w:ascii="Bookman Old Style" w:hAnsi="Bookman Old Style"/>
          <w:i/>
        </w:rPr>
        <w:t>Rules of Court</w:t>
      </w:r>
      <w:r w:rsidR="00EB6A32">
        <w:rPr>
          <w:rFonts w:ascii="Bookman Old Style" w:hAnsi="Bookman Old Style"/>
          <w:i/>
        </w:rPr>
        <w:t xml:space="preserve"> </w:t>
      </w:r>
      <w:r w:rsidR="00EB6A32">
        <w:rPr>
          <w:rFonts w:ascii="Bookman Old Style" w:hAnsi="Bookman Old Style"/>
        </w:rPr>
        <w:t>for the joinder of another defendant as a ‘necessary’ party</w:t>
      </w:r>
      <w:r w:rsidR="002E4AF9">
        <w:rPr>
          <w:rFonts w:ascii="Bookman Old Style" w:hAnsi="Bookman Old Style"/>
        </w:rPr>
        <w:t xml:space="preserve"> to the case</w:t>
      </w:r>
      <w:r w:rsidR="00FC4458" w:rsidRPr="00EB6A32">
        <w:rPr>
          <w:rFonts w:ascii="Bookman Old Style" w:hAnsi="Bookman Old Style"/>
        </w:rPr>
        <w:t xml:space="preserve">. </w:t>
      </w:r>
      <w:r w:rsidRPr="00EB6A32">
        <w:rPr>
          <w:rFonts w:ascii="Bookman Old Style" w:hAnsi="Bookman Old Style"/>
        </w:rPr>
        <w:t xml:space="preserve"> </w:t>
      </w:r>
    </w:p>
  </w:footnote>
  <w:footnote w:id="8">
    <w:p w:rsidR="005A7C71" w:rsidRPr="00451D30" w:rsidRDefault="005A7C71" w:rsidP="005A7C71">
      <w:pPr>
        <w:pStyle w:val="FootnoteText"/>
        <w:rPr>
          <w:rFonts w:ascii="Bookman Old Style" w:hAnsi="Bookman Old Style"/>
        </w:rPr>
      </w:pPr>
      <w:r w:rsidRPr="00451D30">
        <w:rPr>
          <w:rStyle w:val="FootnoteReference"/>
          <w:rFonts w:ascii="Bookman Old Style" w:hAnsi="Bookman Old Style"/>
        </w:rPr>
        <w:footnoteRef/>
      </w:r>
      <w:r w:rsidRPr="00451D30">
        <w:rPr>
          <w:rFonts w:ascii="Bookman Old Style" w:hAnsi="Bookman Old Style"/>
        </w:rPr>
        <w:t xml:space="preserve"> </w:t>
      </w:r>
      <w:r w:rsidRPr="00451D30">
        <w:rPr>
          <w:rFonts w:ascii="Bookman Old Style" w:hAnsi="Bookman Old Style"/>
        </w:rPr>
        <w:tab/>
      </w:r>
      <w:r w:rsidRPr="00451D30">
        <w:rPr>
          <w:rFonts w:ascii="Bookman Old Style" w:hAnsi="Bookman Old Style"/>
          <w:i/>
        </w:rPr>
        <w:t>Alexander v Perpetual Trustees WA Ltd</w:t>
      </w:r>
      <w:r w:rsidRPr="00451D30">
        <w:rPr>
          <w:rFonts w:ascii="Bookman Old Style" w:hAnsi="Bookman Old Style"/>
        </w:rPr>
        <w:t xml:space="preserve"> [2004] HCA 7 at 54; 216 CLR 109.</w:t>
      </w:r>
    </w:p>
  </w:footnote>
  <w:footnote w:id="9">
    <w:p w:rsidR="00030FDA" w:rsidRPr="00030FDA" w:rsidRDefault="00030FDA">
      <w:pPr>
        <w:pStyle w:val="FootnoteText"/>
      </w:pPr>
      <w:r w:rsidRPr="00202289">
        <w:rPr>
          <w:rStyle w:val="FootnoteReference"/>
          <w:rFonts w:ascii="Bookman Old Style" w:hAnsi="Bookman Old Style"/>
        </w:rPr>
        <w:footnoteRef/>
      </w:r>
      <w:r w:rsidRPr="00202289">
        <w:rPr>
          <w:rFonts w:ascii="Bookman Old Style" w:hAnsi="Bookman Old Style"/>
        </w:rPr>
        <w:t xml:space="preserve"> </w:t>
      </w:r>
      <w:r w:rsidRPr="00202289">
        <w:rPr>
          <w:rFonts w:ascii="Bookman Old Style" w:hAnsi="Bookman Old Style"/>
        </w:rPr>
        <w:tab/>
        <w:t xml:space="preserve">Section 24(2) of the </w:t>
      </w:r>
      <w:r w:rsidRPr="00202289">
        <w:rPr>
          <w:rFonts w:ascii="Bookman Old Style" w:hAnsi="Bookman Old Style"/>
          <w:i/>
        </w:rPr>
        <w:t>Wrongs Act</w:t>
      </w:r>
      <w:r w:rsidRPr="00202289">
        <w:rPr>
          <w:rFonts w:ascii="Bookman Old Style" w:hAnsi="Bookman Old Style"/>
        </w:rPr>
        <w:t>.</w:t>
      </w:r>
      <w:r>
        <w:t xml:space="preserve"> </w:t>
      </w:r>
    </w:p>
  </w:footnote>
  <w:footnote w:id="10">
    <w:p w:rsidR="004B102B" w:rsidRPr="003F0046" w:rsidRDefault="004B102B" w:rsidP="00871801">
      <w:pPr>
        <w:pStyle w:val="FootnoteText"/>
        <w:ind w:left="709" w:hanging="709"/>
        <w:jc w:val="both"/>
        <w:rPr>
          <w:rFonts w:ascii="Bookman Old Style" w:hAnsi="Bookman Old Style"/>
        </w:rPr>
      </w:pPr>
      <w:r w:rsidRPr="003F0046">
        <w:rPr>
          <w:rStyle w:val="FootnoteReference"/>
          <w:rFonts w:ascii="Bookman Old Style" w:hAnsi="Bookman Old Style"/>
        </w:rPr>
        <w:footnoteRef/>
      </w:r>
      <w:r w:rsidRPr="003F0046">
        <w:rPr>
          <w:rFonts w:ascii="Bookman Old Style" w:hAnsi="Bookman Old Style"/>
        </w:rPr>
        <w:t xml:space="preserve"> </w:t>
      </w:r>
      <w:r w:rsidRPr="003F0046">
        <w:rPr>
          <w:rFonts w:ascii="Bookman Old Style" w:hAnsi="Bookman Old Style"/>
        </w:rPr>
        <w:tab/>
        <w:t xml:space="preserve">See for example </w:t>
      </w:r>
      <w:proofErr w:type="spellStart"/>
      <w:r w:rsidRPr="003F0046">
        <w:rPr>
          <w:rFonts w:ascii="Bookman Old Style" w:hAnsi="Bookman Old Style"/>
        </w:rPr>
        <w:t>Tadgell</w:t>
      </w:r>
      <w:proofErr w:type="spellEnd"/>
      <w:r w:rsidRPr="003F0046">
        <w:rPr>
          <w:rFonts w:ascii="Bookman Old Style" w:hAnsi="Bookman Old Style"/>
        </w:rPr>
        <w:t xml:space="preserve"> J’s obiter in </w:t>
      </w:r>
      <w:r w:rsidRPr="003F0046">
        <w:rPr>
          <w:rFonts w:ascii="Bookman Old Style" w:hAnsi="Bookman Old Style"/>
          <w:i/>
        </w:rPr>
        <w:t xml:space="preserve">State Electricity Commission of Victoria and Others v </w:t>
      </w:r>
      <w:proofErr w:type="spellStart"/>
      <w:r w:rsidRPr="003F0046">
        <w:rPr>
          <w:rFonts w:ascii="Bookman Old Style" w:hAnsi="Bookman Old Style"/>
          <w:i/>
        </w:rPr>
        <w:t>Fooks</w:t>
      </w:r>
      <w:proofErr w:type="spellEnd"/>
      <w:r w:rsidRPr="003F0046">
        <w:rPr>
          <w:rFonts w:ascii="Bookman Old Style" w:hAnsi="Bookman Old Style"/>
          <w:i/>
        </w:rPr>
        <w:t xml:space="preserve"> and Others</w:t>
      </w:r>
      <w:r w:rsidRPr="003F0046">
        <w:rPr>
          <w:rFonts w:ascii="Bookman Old Style" w:hAnsi="Bookman Old Style"/>
        </w:rPr>
        <w:t xml:space="preserve"> [1994] </w:t>
      </w:r>
      <w:proofErr w:type="spellStart"/>
      <w:r w:rsidRPr="003F0046">
        <w:rPr>
          <w:rFonts w:ascii="Bookman Old Style" w:hAnsi="Bookman Old Style"/>
        </w:rPr>
        <w:t>VicRp</w:t>
      </w:r>
      <w:proofErr w:type="spellEnd"/>
      <w:r w:rsidRPr="003F0046">
        <w:rPr>
          <w:rFonts w:ascii="Bookman Old Style" w:hAnsi="Bookman Old Style"/>
        </w:rPr>
        <w:t xml:space="preserve"> 18; [1994] 1 VR 259:</w:t>
      </w:r>
    </w:p>
    <w:p w:rsidR="004B102B" w:rsidRDefault="004B102B" w:rsidP="004B102B">
      <w:pPr>
        <w:pStyle w:val="FootnoteText"/>
        <w:ind w:left="1440"/>
        <w:jc w:val="both"/>
      </w:pPr>
      <w:r w:rsidRPr="003F0046">
        <w:rPr>
          <w:rFonts w:ascii="Bookman Old Style" w:hAnsi="Bookman Old Style"/>
        </w:rPr>
        <w:t>“</w:t>
      </w:r>
      <w:r w:rsidRPr="003F0046">
        <w:rPr>
          <w:rFonts w:ascii="Bookman Old Style" w:hAnsi="Bookman Old Style" w:cs="Arial"/>
          <w:i/>
        </w:rPr>
        <w:t>Plainly enough an action need not have been brought by the injured party in respect of damage to him before any person liable in respect of it may recover contribution in respect of his liability. Liability may be admitted or established otherwise than by action at the suit of the injured party: s 24(</w:t>
      </w:r>
      <w:proofErr w:type="spellStart"/>
      <w:r w:rsidRPr="003F0046">
        <w:rPr>
          <w:rFonts w:ascii="Bookman Old Style" w:hAnsi="Bookman Old Style" w:cs="Arial"/>
          <w:i/>
        </w:rPr>
        <w:t>2B</w:t>
      </w:r>
      <w:proofErr w:type="spellEnd"/>
      <w:r w:rsidRPr="003F0046">
        <w:rPr>
          <w:rFonts w:ascii="Bookman Old Style" w:hAnsi="Bookman Old Style" w:cs="Arial"/>
          <w:i/>
        </w:rPr>
        <w:t>)</w:t>
      </w:r>
      <w:r w:rsidRPr="003F0046">
        <w:rPr>
          <w:rFonts w:ascii="Bookman Old Style" w:hAnsi="Bookman Old Style" w:cs="Arial"/>
          <w:b/>
          <w:bCs/>
          <w:i/>
        </w:rPr>
        <w:t> </w:t>
      </w:r>
      <w:r w:rsidRPr="003F0046">
        <w:rPr>
          <w:rFonts w:ascii="Bookman Old Style" w:hAnsi="Bookman Old Style" w:cs="Arial"/>
          <w:i/>
        </w:rPr>
        <w:t>recognises as much.</w:t>
      </w:r>
      <w:r w:rsidRPr="003F0046">
        <w:rPr>
          <w:rFonts w:ascii="Bookman Old Style" w:hAnsi="Bookman Old Style" w:cs="Arial"/>
        </w:rPr>
        <w:t>”</w:t>
      </w:r>
    </w:p>
  </w:footnote>
  <w:footnote w:id="11">
    <w:p w:rsidR="00270A6B" w:rsidRDefault="00270A6B" w:rsidP="00270A6B">
      <w:pPr>
        <w:pStyle w:val="FootnoteText"/>
        <w:ind w:left="709" w:hanging="709"/>
        <w:jc w:val="both"/>
        <w:rPr>
          <w:rFonts w:ascii="Bookman Old Style" w:hAnsi="Bookman Old Style"/>
        </w:rPr>
      </w:pPr>
      <w:r w:rsidRPr="00076F25">
        <w:rPr>
          <w:rStyle w:val="FootnoteReference"/>
          <w:rFonts w:ascii="Bookman Old Style" w:hAnsi="Bookman Old Style"/>
        </w:rPr>
        <w:footnoteRef/>
      </w:r>
      <w:r w:rsidRPr="00076F25">
        <w:rPr>
          <w:rFonts w:ascii="Bookman Old Style" w:hAnsi="Bookman Old Style"/>
        </w:rPr>
        <w:t xml:space="preserve"> </w:t>
      </w:r>
      <w:r w:rsidRPr="00076F25">
        <w:rPr>
          <w:rFonts w:ascii="Bookman Old Style" w:hAnsi="Bookman Old Style"/>
        </w:rPr>
        <w:tab/>
      </w:r>
      <w:r w:rsidRPr="00076F25">
        <w:rPr>
          <w:rFonts w:ascii="Bookman Old Style" w:hAnsi="Bookman Old Style"/>
          <w:i/>
        </w:rPr>
        <w:t>Alexander v Perpetual Trustees WA Ltd</w:t>
      </w:r>
      <w:r w:rsidRPr="00076F25">
        <w:rPr>
          <w:rFonts w:ascii="Bookman Old Style" w:hAnsi="Bookman Old Style"/>
        </w:rPr>
        <w:t xml:space="preserve"> [2004] HCA 7</w:t>
      </w:r>
      <w:r>
        <w:rPr>
          <w:rFonts w:ascii="Bookman Old Style" w:hAnsi="Bookman Old Style"/>
        </w:rPr>
        <w:t xml:space="preserve"> per Gleeson CJ, Gummow and </w:t>
      </w:r>
      <w:r w:rsidR="000566CC">
        <w:rPr>
          <w:rFonts w:ascii="Bookman Old Style" w:hAnsi="Bookman Old Style"/>
        </w:rPr>
        <w:t>Hayne JJ at 32</w:t>
      </w:r>
      <w:r w:rsidR="00DE06A3">
        <w:rPr>
          <w:rFonts w:ascii="Bookman Old Style" w:hAnsi="Bookman Old Style"/>
        </w:rPr>
        <w:t xml:space="preserve"> and 39</w:t>
      </w:r>
      <w:r w:rsidR="000566CC">
        <w:rPr>
          <w:rFonts w:ascii="Bookman Old Style" w:hAnsi="Bookman Old Style"/>
        </w:rPr>
        <w:t>; 216 CLR 109:</w:t>
      </w:r>
    </w:p>
    <w:p w:rsidR="000566CC" w:rsidRPr="00202289" w:rsidRDefault="000566CC" w:rsidP="000566CC">
      <w:pPr>
        <w:pStyle w:val="FootnoteText"/>
        <w:ind w:left="1276" w:right="521"/>
        <w:jc w:val="both"/>
        <w:rPr>
          <w:rFonts w:ascii="Bookman Old Style" w:hAnsi="Bookman Old Style"/>
        </w:rPr>
      </w:pPr>
      <w:r>
        <w:rPr>
          <w:rFonts w:ascii="Bookman Old Style" w:hAnsi="Bookman Old Style"/>
        </w:rPr>
        <w:t>“</w:t>
      </w:r>
      <w:r w:rsidR="00C4036C">
        <w:rPr>
          <w:rFonts w:ascii="Bookman Old Style" w:hAnsi="Bookman Old Style"/>
        </w:rPr>
        <w:t xml:space="preserve">[at </w:t>
      </w:r>
      <w:proofErr w:type="gramStart"/>
      <w:r w:rsidR="00C4036C">
        <w:rPr>
          <w:rFonts w:ascii="Bookman Old Style" w:hAnsi="Bookman Old Style"/>
        </w:rPr>
        <w:t>32]</w:t>
      </w:r>
      <w:r w:rsidRPr="000566CC">
        <w:rPr>
          <w:rFonts w:ascii="Bookman Old Style" w:hAnsi="Bookman Old Style"/>
          <w:i/>
        </w:rPr>
        <w:t>…</w:t>
      </w:r>
      <w:proofErr w:type="gramEnd"/>
      <w:r w:rsidRPr="000566CC">
        <w:rPr>
          <w:rFonts w:ascii="Bookman Old Style" w:hAnsi="Bookman Old Style"/>
          <w:i/>
        </w:rPr>
        <w:t>the claimant may recover contribution from any other person ("the potential contributor") who is also liable to the injured plaintiff in respect of the same damage. The relevant inquiry is not confined to whether the damage for which each is liable can be said to be the same; both claimant and potential contributor must be liable to the injured plaintiff</w:t>
      </w:r>
      <w:r w:rsidR="00A23CEB">
        <w:rPr>
          <w:rFonts w:ascii="Bookman Old Style" w:hAnsi="Bookman Old Style"/>
          <w:i/>
        </w:rPr>
        <w:t>…</w:t>
      </w:r>
      <w:r w:rsidR="00C4036C">
        <w:rPr>
          <w:rFonts w:ascii="Bookman Old Style" w:hAnsi="Bookman Old Style"/>
        </w:rPr>
        <w:t xml:space="preserve">[at 39] </w:t>
      </w:r>
      <w:r w:rsidR="00C4036C" w:rsidRPr="00C4036C">
        <w:rPr>
          <w:rFonts w:ascii="Bookman Old Style" w:hAnsi="Bookman Old Style"/>
          <w:i/>
        </w:rPr>
        <w:t>So it may be in a given case that the liability of one party is founded in contract and the other is in tort.</w:t>
      </w:r>
      <w:r>
        <w:rPr>
          <w:rFonts w:ascii="Bookman Old Style" w:hAnsi="Bookman Old Style"/>
        </w:rPr>
        <w:t>”</w:t>
      </w:r>
    </w:p>
  </w:footnote>
  <w:footnote w:id="12">
    <w:p w:rsidR="0011458A" w:rsidRPr="0011458A" w:rsidRDefault="0011458A">
      <w:pPr>
        <w:pStyle w:val="FootnoteText"/>
        <w:rPr>
          <w:rFonts w:ascii="Bookman Old Style" w:hAnsi="Bookman Old Style"/>
        </w:rPr>
      </w:pPr>
      <w:r w:rsidRPr="0011458A">
        <w:rPr>
          <w:rStyle w:val="FootnoteReference"/>
          <w:rFonts w:ascii="Bookman Old Style" w:hAnsi="Bookman Old Style"/>
        </w:rPr>
        <w:footnoteRef/>
      </w:r>
      <w:r w:rsidRPr="0011458A">
        <w:rPr>
          <w:rFonts w:ascii="Bookman Old Style" w:hAnsi="Bookman Old Style"/>
        </w:rPr>
        <w:t xml:space="preserve"> </w:t>
      </w:r>
      <w:r w:rsidRPr="0011458A">
        <w:rPr>
          <w:rFonts w:ascii="Bookman Old Style" w:hAnsi="Bookman Old Style"/>
        </w:rPr>
        <w:tab/>
        <w:t>[1981] HCA 45; (1981) 147 CLR 589</w:t>
      </w:r>
      <w:r>
        <w:rPr>
          <w:rFonts w:ascii="Bookman Old Style" w:hAnsi="Bookman Old Style"/>
        </w:rPr>
        <w:t>.</w:t>
      </w:r>
    </w:p>
  </w:footnote>
  <w:footnote w:id="13">
    <w:p w:rsidR="00875137" w:rsidRPr="009B381A" w:rsidRDefault="00875137">
      <w:pPr>
        <w:pStyle w:val="FootnoteText"/>
        <w:rPr>
          <w:rFonts w:ascii="Bookman Old Style" w:hAnsi="Bookman Old Style"/>
        </w:rPr>
      </w:pPr>
      <w:r w:rsidRPr="009B381A">
        <w:rPr>
          <w:rStyle w:val="FootnoteReference"/>
          <w:rFonts w:ascii="Bookman Old Style" w:hAnsi="Bookman Old Style"/>
        </w:rPr>
        <w:footnoteRef/>
      </w:r>
      <w:r w:rsidRPr="009B381A">
        <w:rPr>
          <w:rFonts w:ascii="Bookman Old Style" w:hAnsi="Bookman Old Style"/>
        </w:rPr>
        <w:t xml:space="preserve"> </w:t>
      </w:r>
      <w:r w:rsidRPr="009B381A">
        <w:rPr>
          <w:rFonts w:ascii="Bookman Old Style" w:hAnsi="Bookman Old Style"/>
        </w:rPr>
        <w:tab/>
        <w:t xml:space="preserve">Providing an extension to the plaintiff based on the date of discoverability. </w:t>
      </w:r>
    </w:p>
  </w:footnote>
  <w:footnote w:id="14">
    <w:p w:rsidR="00384894" w:rsidRDefault="00384894">
      <w:pPr>
        <w:pStyle w:val="FootnoteText"/>
      </w:pPr>
      <w:r>
        <w:rPr>
          <w:rStyle w:val="FootnoteReference"/>
        </w:rPr>
        <w:footnoteRef/>
      </w:r>
      <w:r>
        <w:t xml:space="preserve"> </w:t>
      </w:r>
      <w:r>
        <w:tab/>
      </w:r>
      <w:r w:rsidRPr="004D31EA">
        <w:rPr>
          <w:rFonts w:ascii="Bookman Old Style" w:hAnsi="Bookman Old Style"/>
        </w:rPr>
        <w:t xml:space="preserve">Section 24(4)(b) of the </w:t>
      </w:r>
      <w:r w:rsidRPr="004D31EA">
        <w:rPr>
          <w:rFonts w:ascii="Bookman Old Style" w:hAnsi="Bookman Old Style"/>
          <w:i/>
        </w:rPr>
        <w:t>Wrongs Act</w:t>
      </w:r>
      <w:r>
        <w:rPr>
          <w:rFonts w:ascii="Bookman Old Style" w:hAnsi="Bookman Old Style"/>
          <w:i/>
        </w:rPr>
        <w:t>.</w:t>
      </w:r>
    </w:p>
  </w:footnote>
  <w:footnote w:id="15">
    <w:p w:rsidR="00C15699" w:rsidRDefault="00C15699" w:rsidP="004D31EA">
      <w:pPr>
        <w:pStyle w:val="FootnoteText"/>
        <w:ind w:left="709" w:hanging="709"/>
        <w:jc w:val="both"/>
      </w:pPr>
      <w:r w:rsidRPr="004D31EA">
        <w:rPr>
          <w:rStyle w:val="FootnoteReference"/>
          <w:rFonts w:ascii="Bookman Old Style" w:hAnsi="Bookman Old Style"/>
        </w:rPr>
        <w:footnoteRef/>
      </w:r>
      <w:r w:rsidRPr="004D31EA">
        <w:rPr>
          <w:rFonts w:ascii="Bookman Old Style" w:hAnsi="Bookman Old Style"/>
        </w:rPr>
        <w:t xml:space="preserve"> </w:t>
      </w:r>
      <w:r w:rsidRPr="004D31EA">
        <w:rPr>
          <w:rFonts w:ascii="Bookman Old Style" w:hAnsi="Bookman Old Style"/>
        </w:rPr>
        <w:tab/>
      </w:r>
      <w:r w:rsidR="00690B89" w:rsidRPr="003F0046">
        <w:rPr>
          <w:rFonts w:ascii="Bookman Old Style" w:hAnsi="Bookman Old Style"/>
          <w:i/>
        </w:rPr>
        <w:t xml:space="preserve">State Electricity Commission of Victoria and Others v </w:t>
      </w:r>
      <w:proofErr w:type="spellStart"/>
      <w:r w:rsidR="00690B89" w:rsidRPr="003F0046">
        <w:rPr>
          <w:rFonts w:ascii="Bookman Old Style" w:hAnsi="Bookman Old Style"/>
          <w:i/>
        </w:rPr>
        <w:t>Fooks</w:t>
      </w:r>
      <w:proofErr w:type="spellEnd"/>
      <w:r w:rsidR="00690B89" w:rsidRPr="003F0046">
        <w:rPr>
          <w:rFonts w:ascii="Bookman Old Style" w:hAnsi="Bookman Old Style"/>
          <w:i/>
        </w:rPr>
        <w:t xml:space="preserve"> and Others</w:t>
      </w:r>
      <w:r w:rsidR="00690B89" w:rsidRPr="003F0046">
        <w:rPr>
          <w:rFonts w:ascii="Bookman Old Style" w:hAnsi="Bookman Old Style"/>
        </w:rPr>
        <w:t xml:space="preserve"> [1994] </w:t>
      </w:r>
      <w:proofErr w:type="spellStart"/>
      <w:r w:rsidR="00690B89" w:rsidRPr="003F0046">
        <w:rPr>
          <w:rFonts w:ascii="Bookman Old Style" w:hAnsi="Bookman Old Style"/>
        </w:rPr>
        <w:t>VicRp</w:t>
      </w:r>
      <w:proofErr w:type="spellEnd"/>
      <w:r w:rsidR="00690B89" w:rsidRPr="003F0046">
        <w:rPr>
          <w:rFonts w:ascii="Bookman Old Style" w:hAnsi="Bookman Old Style"/>
        </w:rPr>
        <w:t xml:space="preserve"> 18; [1994] 1 VR 259</w:t>
      </w:r>
      <w:r w:rsidR="00690B89">
        <w:rPr>
          <w:rFonts w:ascii="Bookman Old Style" w:hAnsi="Bookman Old Style"/>
        </w:rPr>
        <w:t xml:space="preserve"> </w:t>
      </w:r>
      <w:r w:rsidR="008467FD">
        <w:rPr>
          <w:rFonts w:ascii="Bookman Old Style" w:hAnsi="Bookman Old Style"/>
        </w:rPr>
        <w:t>(“</w:t>
      </w:r>
      <w:r w:rsidR="00623089">
        <w:rPr>
          <w:rFonts w:ascii="Bookman Old Style" w:hAnsi="Bookman Old Style"/>
        </w:rPr>
        <w:t>…</w:t>
      </w:r>
      <w:r w:rsidR="008467FD" w:rsidRPr="00623089">
        <w:rPr>
          <w:rFonts w:ascii="Bookman Old Style" w:hAnsi="Bookman Old Style"/>
          <w:i/>
        </w:rPr>
        <w:t>each contributor could bring contribution proceedings within the same time period as the defendant, and if that time period had expired, within a further six months period after each contributor was served with contribution proceedings</w:t>
      </w:r>
      <w:r w:rsidR="008467FD">
        <w:rPr>
          <w:rFonts w:ascii="Bookman Old Style" w:hAnsi="Bookman Old Style"/>
        </w:rPr>
        <w:t>”</w:t>
      </w:r>
      <w:r w:rsidR="00623089">
        <w:rPr>
          <w:rFonts w:ascii="Bookman Old Style" w:hAnsi="Bookman Old Style"/>
        </w:rPr>
        <w:t xml:space="preserve">). </w:t>
      </w:r>
    </w:p>
  </w:footnote>
  <w:footnote w:id="16">
    <w:p w:rsidR="003615F4" w:rsidRDefault="003615F4" w:rsidP="003615F4">
      <w:pPr>
        <w:pStyle w:val="FootnoteText"/>
        <w:ind w:left="709" w:hanging="709"/>
        <w:jc w:val="both"/>
      </w:pPr>
      <w:r w:rsidRPr="00EB418F">
        <w:rPr>
          <w:rStyle w:val="FootnoteReference"/>
          <w:rFonts w:ascii="Bookman Old Style" w:hAnsi="Bookman Old Style"/>
        </w:rPr>
        <w:footnoteRef/>
      </w:r>
      <w:r w:rsidRPr="00EB418F">
        <w:rPr>
          <w:rFonts w:ascii="Bookman Old Style" w:hAnsi="Bookman Old Style"/>
        </w:rPr>
        <w:t xml:space="preserve"> </w:t>
      </w:r>
      <w:r w:rsidRPr="00EB418F">
        <w:rPr>
          <w:rFonts w:ascii="Bookman Old Style" w:hAnsi="Bookman Old Style"/>
        </w:rPr>
        <w:tab/>
      </w:r>
      <w:r>
        <w:rPr>
          <w:rFonts w:ascii="Bookman Old Style" w:hAnsi="Bookman Old Style"/>
        </w:rPr>
        <w:t xml:space="preserve">See for example </w:t>
      </w:r>
      <w:r w:rsidRPr="00EB418F">
        <w:rPr>
          <w:rFonts w:ascii="Bookman Old Style" w:hAnsi="Bookman Old Style"/>
          <w:i/>
        </w:rPr>
        <w:t>Andar Transport Pty Ltd v Brambles Ltd</w:t>
      </w:r>
      <w:r w:rsidRPr="00EB418F">
        <w:rPr>
          <w:rFonts w:ascii="Bookman Old Style" w:hAnsi="Bookman Old Style"/>
        </w:rPr>
        <w:t xml:space="preserve"> [2004] HCA 28; 217 CLR 424</w:t>
      </w:r>
      <w:r>
        <w:rPr>
          <w:rFonts w:ascii="Bookman Old Style" w:hAnsi="Bookman Old Style"/>
        </w:rPr>
        <w:t xml:space="preserve"> from paragraph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2" w:rsidRPr="000B5E22" w:rsidRDefault="005A2384" w:rsidP="005A2384">
    <w:pPr>
      <w:tabs>
        <w:tab w:val="left" w:pos="576"/>
        <w:tab w:val="center" w:pos="4513"/>
      </w:tabs>
      <w:jc w:val="right"/>
      <w:rPr>
        <w:rFonts w:ascii="Bookman Old Style" w:hAnsi="Bookman Old Style"/>
      </w:rPr>
    </w:pPr>
    <w:r w:rsidRPr="005A2384">
      <w:rPr>
        <w:rFonts w:ascii="Bookman Old Style" w:hAnsi="Bookman Old Style"/>
      </w:rPr>
      <w:tab/>
    </w:r>
    <w:r w:rsidRPr="005A2384">
      <w:rPr>
        <w:rFonts w:ascii="Bookman Old Style" w:hAnsi="Bookman Old Style"/>
      </w:rPr>
      <w:tab/>
    </w:r>
    <w:r w:rsidR="000B5E22" w:rsidRPr="000B5E22">
      <w:rPr>
        <w:rFonts w:ascii="Bookman Old Style" w:hAnsi="Bookman Old Style"/>
      </w:rPr>
      <w:t xml:space="preserve">The Bread &amp; Butter of Contribution </w:t>
    </w:r>
  </w:p>
  <w:p w:rsidR="003B023D" w:rsidRPr="005A2384" w:rsidRDefault="003B023D" w:rsidP="00005E50">
    <w:pPr>
      <w:tabs>
        <w:tab w:val="left" w:pos="576"/>
        <w:tab w:val="center" w:pos="4513"/>
      </w:tabs>
      <w:jc w:val="right"/>
      <w:rPr>
        <w:rFonts w:ascii="Bookman Old Style" w:hAnsi="Bookman Old Style"/>
      </w:rPr>
    </w:pPr>
    <w:r>
      <w:rPr>
        <w:rFonts w:ascii="Bookman Old Style" w:hAnsi="Bookman Old Style"/>
      </w:rPr>
      <w:t>P G Hamilton</w:t>
    </w:r>
    <w:r w:rsidR="00743954">
      <w:rPr>
        <w:rFonts w:ascii="Bookman Old Style" w:hAnsi="Bookman Old Style"/>
      </w:rPr>
      <w:t xml:space="preserve">, </w:t>
    </w:r>
    <w:r w:rsidR="0020126A">
      <w:rPr>
        <w:rFonts w:ascii="Bookman Old Style" w:hAnsi="Bookman Old Style"/>
      </w:rPr>
      <w:t>barrister, Green’s List</w:t>
    </w:r>
  </w:p>
  <w:p w:rsidR="005A2384" w:rsidRDefault="005A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758"/>
    <w:multiLevelType w:val="hybridMultilevel"/>
    <w:tmpl w:val="27BA8CE0"/>
    <w:lvl w:ilvl="0" w:tplc="D5EA317A">
      <w:start w:val="1"/>
      <w:numFmt w:val="decimal"/>
      <w:lvlText w:val="%1."/>
      <w:lvlJc w:val="left"/>
      <w:pPr>
        <w:ind w:left="720" w:hanging="360"/>
      </w:pPr>
      <w:rPr>
        <w:b w:val="0"/>
      </w:rPr>
    </w:lvl>
    <w:lvl w:ilvl="1" w:tplc="DDF0017A">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B36AB3"/>
    <w:multiLevelType w:val="hybridMultilevel"/>
    <w:tmpl w:val="6068D25A"/>
    <w:lvl w:ilvl="0" w:tplc="4DFC34AA">
      <w:start w:val="1"/>
      <w:numFmt w:val="bullet"/>
      <w:lvlText w:val=""/>
      <w:lvlJc w:val="left"/>
      <w:pPr>
        <w:tabs>
          <w:tab w:val="num" w:pos="720"/>
        </w:tabs>
        <w:ind w:left="720" w:hanging="360"/>
      </w:pPr>
      <w:rPr>
        <w:rFonts w:ascii="Wingdings 3" w:hAnsi="Wingdings 3" w:hint="default"/>
      </w:rPr>
    </w:lvl>
    <w:lvl w:ilvl="1" w:tplc="C0B0CE66">
      <w:start w:val="97"/>
      <w:numFmt w:val="bullet"/>
      <w:lvlText w:val=""/>
      <w:lvlJc w:val="left"/>
      <w:pPr>
        <w:tabs>
          <w:tab w:val="num" w:pos="1440"/>
        </w:tabs>
        <w:ind w:left="1440" w:hanging="360"/>
      </w:pPr>
      <w:rPr>
        <w:rFonts w:ascii="Wingdings 3" w:hAnsi="Wingdings 3" w:hint="default"/>
      </w:rPr>
    </w:lvl>
    <w:lvl w:ilvl="2" w:tplc="99C0CB38" w:tentative="1">
      <w:start w:val="1"/>
      <w:numFmt w:val="bullet"/>
      <w:lvlText w:val=""/>
      <w:lvlJc w:val="left"/>
      <w:pPr>
        <w:tabs>
          <w:tab w:val="num" w:pos="2160"/>
        </w:tabs>
        <w:ind w:left="2160" w:hanging="360"/>
      </w:pPr>
      <w:rPr>
        <w:rFonts w:ascii="Wingdings 3" w:hAnsi="Wingdings 3" w:hint="default"/>
      </w:rPr>
    </w:lvl>
    <w:lvl w:ilvl="3" w:tplc="D130AB76" w:tentative="1">
      <w:start w:val="1"/>
      <w:numFmt w:val="bullet"/>
      <w:lvlText w:val=""/>
      <w:lvlJc w:val="left"/>
      <w:pPr>
        <w:tabs>
          <w:tab w:val="num" w:pos="2880"/>
        </w:tabs>
        <w:ind w:left="2880" w:hanging="360"/>
      </w:pPr>
      <w:rPr>
        <w:rFonts w:ascii="Wingdings 3" w:hAnsi="Wingdings 3" w:hint="default"/>
      </w:rPr>
    </w:lvl>
    <w:lvl w:ilvl="4" w:tplc="7CF6866E" w:tentative="1">
      <w:start w:val="1"/>
      <w:numFmt w:val="bullet"/>
      <w:lvlText w:val=""/>
      <w:lvlJc w:val="left"/>
      <w:pPr>
        <w:tabs>
          <w:tab w:val="num" w:pos="3600"/>
        </w:tabs>
        <w:ind w:left="3600" w:hanging="360"/>
      </w:pPr>
      <w:rPr>
        <w:rFonts w:ascii="Wingdings 3" w:hAnsi="Wingdings 3" w:hint="default"/>
      </w:rPr>
    </w:lvl>
    <w:lvl w:ilvl="5" w:tplc="9DFC4BBA" w:tentative="1">
      <w:start w:val="1"/>
      <w:numFmt w:val="bullet"/>
      <w:lvlText w:val=""/>
      <w:lvlJc w:val="left"/>
      <w:pPr>
        <w:tabs>
          <w:tab w:val="num" w:pos="4320"/>
        </w:tabs>
        <w:ind w:left="4320" w:hanging="360"/>
      </w:pPr>
      <w:rPr>
        <w:rFonts w:ascii="Wingdings 3" w:hAnsi="Wingdings 3" w:hint="default"/>
      </w:rPr>
    </w:lvl>
    <w:lvl w:ilvl="6" w:tplc="797E68E2" w:tentative="1">
      <w:start w:val="1"/>
      <w:numFmt w:val="bullet"/>
      <w:lvlText w:val=""/>
      <w:lvlJc w:val="left"/>
      <w:pPr>
        <w:tabs>
          <w:tab w:val="num" w:pos="5040"/>
        </w:tabs>
        <w:ind w:left="5040" w:hanging="360"/>
      </w:pPr>
      <w:rPr>
        <w:rFonts w:ascii="Wingdings 3" w:hAnsi="Wingdings 3" w:hint="default"/>
      </w:rPr>
    </w:lvl>
    <w:lvl w:ilvl="7" w:tplc="FCF63560" w:tentative="1">
      <w:start w:val="1"/>
      <w:numFmt w:val="bullet"/>
      <w:lvlText w:val=""/>
      <w:lvlJc w:val="left"/>
      <w:pPr>
        <w:tabs>
          <w:tab w:val="num" w:pos="5760"/>
        </w:tabs>
        <w:ind w:left="5760" w:hanging="360"/>
      </w:pPr>
      <w:rPr>
        <w:rFonts w:ascii="Wingdings 3" w:hAnsi="Wingdings 3" w:hint="default"/>
      </w:rPr>
    </w:lvl>
    <w:lvl w:ilvl="8" w:tplc="F810204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0D"/>
    <w:rsid w:val="00005115"/>
    <w:rsid w:val="00005C86"/>
    <w:rsid w:val="00005E50"/>
    <w:rsid w:val="00010530"/>
    <w:rsid w:val="00010DCC"/>
    <w:rsid w:val="00013E52"/>
    <w:rsid w:val="0001414D"/>
    <w:rsid w:val="00014F3E"/>
    <w:rsid w:val="00022AAB"/>
    <w:rsid w:val="000238D6"/>
    <w:rsid w:val="000248A2"/>
    <w:rsid w:val="00030FDA"/>
    <w:rsid w:val="00033163"/>
    <w:rsid w:val="000405C2"/>
    <w:rsid w:val="00040A5D"/>
    <w:rsid w:val="00042BB0"/>
    <w:rsid w:val="00042C7F"/>
    <w:rsid w:val="00051E3C"/>
    <w:rsid w:val="00052892"/>
    <w:rsid w:val="000548B8"/>
    <w:rsid w:val="000566CC"/>
    <w:rsid w:val="00063FDE"/>
    <w:rsid w:val="0006754C"/>
    <w:rsid w:val="00074978"/>
    <w:rsid w:val="00076F25"/>
    <w:rsid w:val="00077205"/>
    <w:rsid w:val="00091A86"/>
    <w:rsid w:val="0009311F"/>
    <w:rsid w:val="000945F4"/>
    <w:rsid w:val="000A0516"/>
    <w:rsid w:val="000A07F3"/>
    <w:rsid w:val="000A0966"/>
    <w:rsid w:val="000A1D98"/>
    <w:rsid w:val="000A74CF"/>
    <w:rsid w:val="000B32E2"/>
    <w:rsid w:val="000B421D"/>
    <w:rsid w:val="000B5E22"/>
    <w:rsid w:val="000C2677"/>
    <w:rsid w:val="000C5CAA"/>
    <w:rsid w:val="000E59A8"/>
    <w:rsid w:val="000E59EC"/>
    <w:rsid w:val="000E61C6"/>
    <w:rsid w:val="000E6D35"/>
    <w:rsid w:val="000F6DC2"/>
    <w:rsid w:val="00103408"/>
    <w:rsid w:val="00106DD4"/>
    <w:rsid w:val="00107F36"/>
    <w:rsid w:val="0011009E"/>
    <w:rsid w:val="0011057B"/>
    <w:rsid w:val="0011458A"/>
    <w:rsid w:val="00116DBB"/>
    <w:rsid w:val="00123D54"/>
    <w:rsid w:val="00126657"/>
    <w:rsid w:val="00132172"/>
    <w:rsid w:val="0013296A"/>
    <w:rsid w:val="00133A38"/>
    <w:rsid w:val="00134972"/>
    <w:rsid w:val="00136268"/>
    <w:rsid w:val="00137321"/>
    <w:rsid w:val="00143F21"/>
    <w:rsid w:val="001462F4"/>
    <w:rsid w:val="001474C2"/>
    <w:rsid w:val="001479F3"/>
    <w:rsid w:val="0015142C"/>
    <w:rsid w:val="00154280"/>
    <w:rsid w:val="001567FE"/>
    <w:rsid w:val="001568E6"/>
    <w:rsid w:val="00167BE7"/>
    <w:rsid w:val="00170E63"/>
    <w:rsid w:val="001729C5"/>
    <w:rsid w:val="001730D4"/>
    <w:rsid w:val="00173510"/>
    <w:rsid w:val="001735A6"/>
    <w:rsid w:val="00176FD9"/>
    <w:rsid w:val="00181EA4"/>
    <w:rsid w:val="00184A69"/>
    <w:rsid w:val="0018682C"/>
    <w:rsid w:val="00197FE6"/>
    <w:rsid w:val="001A102B"/>
    <w:rsid w:val="001B14D0"/>
    <w:rsid w:val="001B1FE2"/>
    <w:rsid w:val="001B4531"/>
    <w:rsid w:val="001B6672"/>
    <w:rsid w:val="001C1168"/>
    <w:rsid w:val="001C2B24"/>
    <w:rsid w:val="001C61B7"/>
    <w:rsid w:val="001D10AA"/>
    <w:rsid w:val="001D1689"/>
    <w:rsid w:val="001D3990"/>
    <w:rsid w:val="001D3F26"/>
    <w:rsid w:val="001D6426"/>
    <w:rsid w:val="001E3103"/>
    <w:rsid w:val="001E33DE"/>
    <w:rsid w:val="001E4573"/>
    <w:rsid w:val="001F1589"/>
    <w:rsid w:val="001F1853"/>
    <w:rsid w:val="0020126A"/>
    <w:rsid w:val="00202289"/>
    <w:rsid w:val="00203738"/>
    <w:rsid w:val="0021175A"/>
    <w:rsid w:val="002206DA"/>
    <w:rsid w:val="002214A3"/>
    <w:rsid w:val="00221F3D"/>
    <w:rsid w:val="00222B31"/>
    <w:rsid w:val="00226F78"/>
    <w:rsid w:val="00235CE2"/>
    <w:rsid w:val="002447B2"/>
    <w:rsid w:val="002450DE"/>
    <w:rsid w:val="00245B72"/>
    <w:rsid w:val="00253902"/>
    <w:rsid w:val="00256FA4"/>
    <w:rsid w:val="002605A7"/>
    <w:rsid w:val="00263457"/>
    <w:rsid w:val="0026393E"/>
    <w:rsid w:val="0027088B"/>
    <w:rsid w:val="00270A6B"/>
    <w:rsid w:val="002744EE"/>
    <w:rsid w:val="002819E0"/>
    <w:rsid w:val="00282AAB"/>
    <w:rsid w:val="00283D0A"/>
    <w:rsid w:val="0029049F"/>
    <w:rsid w:val="002907AC"/>
    <w:rsid w:val="00291C25"/>
    <w:rsid w:val="00293200"/>
    <w:rsid w:val="00294E45"/>
    <w:rsid w:val="002A7110"/>
    <w:rsid w:val="002B2B88"/>
    <w:rsid w:val="002B497E"/>
    <w:rsid w:val="002B4FD0"/>
    <w:rsid w:val="002B6089"/>
    <w:rsid w:val="002C6F5F"/>
    <w:rsid w:val="002D114B"/>
    <w:rsid w:val="002D2707"/>
    <w:rsid w:val="002D44D7"/>
    <w:rsid w:val="002D44DA"/>
    <w:rsid w:val="002D4E28"/>
    <w:rsid w:val="002D6153"/>
    <w:rsid w:val="002D7033"/>
    <w:rsid w:val="002E4AF9"/>
    <w:rsid w:val="002F50F8"/>
    <w:rsid w:val="00307AE7"/>
    <w:rsid w:val="0031199D"/>
    <w:rsid w:val="00312BAF"/>
    <w:rsid w:val="00314933"/>
    <w:rsid w:val="00316E9C"/>
    <w:rsid w:val="00317136"/>
    <w:rsid w:val="0032530A"/>
    <w:rsid w:val="003311C8"/>
    <w:rsid w:val="00333644"/>
    <w:rsid w:val="003368E6"/>
    <w:rsid w:val="00341BF8"/>
    <w:rsid w:val="003459E0"/>
    <w:rsid w:val="003615F4"/>
    <w:rsid w:val="00363FA2"/>
    <w:rsid w:val="003758B7"/>
    <w:rsid w:val="00376BCE"/>
    <w:rsid w:val="00376BE2"/>
    <w:rsid w:val="00381557"/>
    <w:rsid w:val="003821FD"/>
    <w:rsid w:val="00384686"/>
    <w:rsid w:val="00384894"/>
    <w:rsid w:val="003934A3"/>
    <w:rsid w:val="00393BBC"/>
    <w:rsid w:val="00394474"/>
    <w:rsid w:val="003956B1"/>
    <w:rsid w:val="00395B37"/>
    <w:rsid w:val="003A484D"/>
    <w:rsid w:val="003A5305"/>
    <w:rsid w:val="003A6CC5"/>
    <w:rsid w:val="003A7887"/>
    <w:rsid w:val="003B023D"/>
    <w:rsid w:val="003B28B9"/>
    <w:rsid w:val="003B579C"/>
    <w:rsid w:val="003C394A"/>
    <w:rsid w:val="003C663E"/>
    <w:rsid w:val="003E75D5"/>
    <w:rsid w:val="003E7D59"/>
    <w:rsid w:val="003F0046"/>
    <w:rsid w:val="003F2B4E"/>
    <w:rsid w:val="003F3596"/>
    <w:rsid w:val="003F62E9"/>
    <w:rsid w:val="003F726E"/>
    <w:rsid w:val="0040521E"/>
    <w:rsid w:val="00411C87"/>
    <w:rsid w:val="0042044F"/>
    <w:rsid w:val="00427F56"/>
    <w:rsid w:val="0043254C"/>
    <w:rsid w:val="004419FA"/>
    <w:rsid w:val="0044731F"/>
    <w:rsid w:val="004504B0"/>
    <w:rsid w:val="004507DD"/>
    <w:rsid w:val="00450B0C"/>
    <w:rsid w:val="00450CF9"/>
    <w:rsid w:val="00451341"/>
    <w:rsid w:val="00451D30"/>
    <w:rsid w:val="00452744"/>
    <w:rsid w:val="00453CDD"/>
    <w:rsid w:val="00453FF9"/>
    <w:rsid w:val="004557E8"/>
    <w:rsid w:val="004564E3"/>
    <w:rsid w:val="00457C56"/>
    <w:rsid w:val="004641E4"/>
    <w:rsid w:val="0046782B"/>
    <w:rsid w:val="00470AB7"/>
    <w:rsid w:val="00471BC2"/>
    <w:rsid w:val="00473B6C"/>
    <w:rsid w:val="00473FC8"/>
    <w:rsid w:val="004770B4"/>
    <w:rsid w:val="004811B4"/>
    <w:rsid w:val="004827BA"/>
    <w:rsid w:val="004829D3"/>
    <w:rsid w:val="00483AAB"/>
    <w:rsid w:val="00485311"/>
    <w:rsid w:val="004957CF"/>
    <w:rsid w:val="004B102B"/>
    <w:rsid w:val="004B1709"/>
    <w:rsid w:val="004B3FC8"/>
    <w:rsid w:val="004B5268"/>
    <w:rsid w:val="004B6315"/>
    <w:rsid w:val="004C43B7"/>
    <w:rsid w:val="004C7CC9"/>
    <w:rsid w:val="004D1F46"/>
    <w:rsid w:val="004D31EA"/>
    <w:rsid w:val="004D694D"/>
    <w:rsid w:val="004D6FEE"/>
    <w:rsid w:val="004E2487"/>
    <w:rsid w:val="004E2D82"/>
    <w:rsid w:val="004E5C2D"/>
    <w:rsid w:val="004F4B53"/>
    <w:rsid w:val="004F4F4A"/>
    <w:rsid w:val="0050067F"/>
    <w:rsid w:val="00514F65"/>
    <w:rsid w:val="0051588C"/>
    <w:rsid w:val="00520DB7"/>
    <w:rsid w:val="0052243B"/>
    <w:rsid w:val="0053248B"/>
    <w:rsid w:val="00542E17"/>
    <w:rsid w:val="00543CB7"/>
    <w:rsid w:val="00552477"/>
    <w:rsid w:val="00552A59"/>
    <w:rsid w:val="00553754"/>
    <w:rsid w:val="00553965"/>
    <w:rsid w:val="0055439E"/>
    <w:rsid w:val="0055774D"/>
    <w:rsid w:val="00560DA9"/>
    <w:rsid w:val="00564347"/>
    <w:rsid w:val="00570278"/>
    <w:rsid w:val="005778A4"/>
    <w:rsid w:val="00584AB1"/>
    <w:rsid w:val="0058648B"/>
    <w:rsid w:val="005905B9"/>
    <w:rsid w:val="005923C6"/>
    <w:rsid w:val="005931BF"/>
    <w:rsid w:val="0059399A"/>
    <w:rsid w:val="005939AF"/>
    <w:rsid w:val="00593B4D"/>
    <w:rsid w:val="00593B61"/>
    <w:rsid w:val="00595B90"/>
    <w:rsid w:val="005A2384"/>
    <w:rsid w:val="005A7C71"/>
    <w:rsid w:val="005B0B49"/>
    <w:rsid w:val="005B0B65"/>
    <w:rsid w:val="005B48D8"/>
    <w:rsid w:val="005B4A98"/>
    <w:rsid w:val="005B4C26"/>
    <w:rsid w:val="005C163E"/>
    <w:rsid w:val="005C73BE"/>
    <w:rsid w:val="005D0F6A"/>
    <w:rsid w:val="005D27B6"/>
    <w:rsid w:val="005E6D11"/>
    <w:rsid w:val="005F1C39"/>
    <w:rsid w:val="005F2EC2"/>
    <w:rsid w:val="005F6849"/>
    <w:rsid w:val="00600EBE"/>
    <w:rsid w:val="00602C5C"/>
    <w:rsid w:val="00603209"/>
    <w:rsid w:val="0060603C"/>
    <w:rsid w:val="00610872"/>
    <w:rsid w:val="00623089"/>
    <w:rsid w:val="00624590"/>
    <w:rsid w:val="00626581"/>
    <w:rsid w:val="00630BA5"/>
    <w:rsid w:val="00630E45"/>
    <w:rsid w:val="0063373F"/>
    <w:rsid w:val="00635356"/>
    <w:rsid w:val="006361A9"/>
    <w:rsid w:val="00637414"/>
    <w:rsid w:val="0064042C"/>
    <w:rsid w:val="00653A31"/>
    <w:rsid w:val="0065578D"/>
    <w:rsid w:val="006566FE"/>
    <w:rsid w:val="0065693E"/>
    <w:rsid w:val="00661F42"/>
    <w:rsid w:val="006626AA"/>
    <w:rsid w:val="00664FA6"/>
    <w:rsid w:val="006653AD"/>
    <w:rsid w:val="00665F24"/>
    <w:rsid w:val="00672459"/>
    <w:rsid w:val="00674E63"/>
    <w:rsid w:val="00681F26"/>
    <w:rsid w:val="00685422"/>
    <w:rsid w:val="00690B89"/>
    <w:rsid w:val="00690F8B"/>
    <w:rsid w:val="0069216B"/>
    <w:rsid w:val="006A3AEB"/>
    <w:rsid w:val="006A4283"/>
    <w:rsid w:val="006A480E"/>
    <w:rsid w:val="006A597C"/>
    <w:rsid w:val="006A6AEE"/>
    <w:rsid w:val="006B2B72"/>
    <w:rsid w:val="006B324A"/>
    <w:rsid w:val="006B336D"/>
    <w:rsid w:val="006B6D6F"/>
    <w:rsid w:val="006B7C14"/>
    <w:rsid w:val="006C3BD3"/>
    <w:rsid w:val="006D2201"/>
    <w:rsid w:val="006D4E6C"/>
    <w:rsid w:val="006D62D0"/>
    <w:rsid w:val="006D6AA0"/>
    <w:rsid w:val="006D7E7B"/>
    <w:rsid w:val="006E08D3"/>
    <w:rsid w:val="006E2E1E"/>
    <w:rsid w:val="006E2ECB"/>
    <w:rsid w:val="006E45AC"/>
    <w:rsid w:val="006E52A6"/>
    <w:rsid w:val="00705282"/>
    <w:rsid w:val="00706FE0"/>
    <w:rsid w:val="00710499"/>
    <w:rsid w:val="00710551"/>
    <w:rsid w:val="00720F0E"/>
    <w:rsid w:val="007269B5"/>
    <w:rsid w:val="00731F3C"/>
    <w:rsid w:val="00733004"/>
    <w:rsid w:val="00735CE7"/>
    <w:rsid w:val="0073607E"/>
    <w:rsid w:val="00743954"/>
    <w:rsid w:val="007471E3"/>
    <w:rsid w:val="00752A4E"/>
    <w:rsid w:val="00755D6C"/>
    <w:rsid w:val="007634EF"/>
    <w:rsid w:val="00763E95"/>
    <w:rsid w:val="00765DB8"/>
    <w:rsid w:val="00777BBE"/>
    <w:rsid w:val="00780F19"/>
    <w:rsid w:val="00781E68"/>
    <w:rsid w:val="00786D7E"/>
    <w:rsid w:val="007A3CA9"/>
    <w:rsid w:val="007A583D"/>
    <w:rsid w:val="007B00EF"/>
    <w:rsid w:val="007B02C2"/>
    <w:rsid w:val="007C16C4"/>
    <w:rsid w:val="007D2501"/>
    <w:rsid w:val="007D6F3E"/>
    <w:rsid w:val="007E0E19"/>
    <w:rsid w:val="007E4B8E"/>
    <w:rsid w:val="007E58E8"/>
    <w:rsid w:val="007F0671"/>
    <w:rsid w:val="007F38EB"/>
    <w:rsid w:val="00800C87"/>
    <w:rsid w:val="00801B79"/>
    <w:rsid w:val="008027C6"/>
    <w:rsid w:val="00806635"/>
    <w:rsid w:val="008066DE"/>
    <w:rsid w:val="008205C2"/>
    <w:rsid w:val="008209CB"/>
    <w:rsid w:val="0082348B"/>
    <w:rsid w:val="008319D1"/>
    <w:rsid w:val="00842E41"/>
    <w:rsid w:val="008445C2"/>
    <w:rsid w:val="008451DA"/>
    <w:rsid w:val="008467FD"/>
    <w:rsid w:val="008470C7"/>
    <w:rsid w:val="00850474"/>
    <w:rsid w:val="00866EE2"/>
    <w:rsid w:val="0086733F"/>
    <w:rsid w:val="008675C2"/>
    <w:rsid w:val="00871801"/>
    <w:rsid w:val="00871D25"/>
    <w:rsid w:val="00875137"/>
    <w:rsid w:val="00880E9D"/>
    <w:rsid w:val="008946AB"/>
    <w:rsid w:val="0089641C"/>
    <w:rsid w:val="008A0852"/>
    <w:rsid w:val="008A1254"/>
    <w:rsid w:val="008A3268"/>
    <w:rsid w:val="008A3B74"/>
    <w:rsid w:val="008B346D"/>
    <w:rsid w:val="008B358C"/>
    <w:rsid w:val="008B40CB"/>
    <w:rsid w:val="008C00FD"/>
    <w:rsid w:val="008C431D"/>
    <w:rsid w:val="008C4940"/>
    <w:rsid w:val="008C5398"/>
    <w:rsid w:val="008C5E05"/>
    <w:rsid w:val="008C7218"/>
    <w:rsid w:val="008C7E3E"/>
    <w:rsid w:val="008D02A1"/>
    <w:rsid w:val="008D07C8"/>
    <w:rsid w:val="008D5749"/>
    <w:rsid w:val="008D6B10"/>
    <w:rsid w:val="008E0957"/>
    <w:rsid w:val="008E40E0"/>
    <w:rsid w:val="008F2932"/>
    <w:rsid w:val="008F2A16"/>
    <w:rsid w:val="008F4CFC"/>
    <w:rsid w:val="008F4E1C"/>
    <w:rsid w:val="008F58FA"/>
    <w:rsid w:val="008F5C4C"/>
    <w:rsid w:val="008F7115"/>
    <w:rsid w:val="009005E2"/>
    <w:rsid w:val="00902994"/>
    <w:rsid w:val="00905919"/>
    <w:rsid w:val="00907289"/>
    <w:rsid w:val="009102C4"/>
    <w:rsid w:val="00916C28"/>
    <w:rsid w:val="00920958"/>
    <w:rsid w:val="00920E82"/>
    <w:rsid w:val="009219DF"/>
    <w:rsid w:val="00924118"/>
    <w:rsid w:val="009318DE"/>
    <w:rsid w:val="009319CB"/>
    <w:rsid w:val="00934ACF"/>
    <w:rsid w:val="00935288"/>
    <w:rsid w:val="00937C2C"/>
    <w:rsid w:val="00941B5E"/>
    <w:rsid w:val="0094288B"/>
    <w:rsid w:val="00946374"/>
    <w:rsid w:val="00946995"/>
    <w:rsid w:val="009503B1"/>
    <w:rsid w:val="00952CB3"/>
    <w:rsid w:val="00956F72"/>
    <w:rsid w:val="0095790F"/>
    <w:rsid w:val="00960C15"/>
    <w:rsid w:val="00961CEA"/>
    <w:rsid w:val="009625E2"/>
    <w:rsid w:val="00962AA8"/>
    <w:rsid w:val="00965CAA"/>
    <w:rsid w:val="00973253"/>
    <w:rsid w:val="00973CDC"/>
    <w:rsid w:val="0098262E"/>
    <w:rsid w:val="00983453"/>
    <w:rsid w:val="00986AE3"/>
    <w:rsid w:val="009906B0"/>
    <w:rsid w:val="00991B83"/>
    <w:rsid w:val="00996763"/>
    <w:rsid w:val="009A7A40"/>
    <w:rsid w:val="009B381A"/>
    <w:rsid w:val="009C4EED"/>
    <w:rsid w:val="009C7D83"/>
    <w:rsid w:val="009E06E2"/>
    <w:rsid w:val="009E1FCF"/>
    <w:rsid w:val="009E7C60"/>
    <w:rsid w:val="009E7EB9"/>
    <w:rsid w:val="009F3E42"/>
    <w:rsid w:val="009F548E"/>
    <w:rsid w:val="009F5ACA"/>
    <w:rsid w:val="009F6592"/>
    <w:rsid w:val="00A034D3"/>
    <w:rsid w:val="00A1422E"/>
    <w:rsid w:val="00A15DEA"/>
    <w:rsid w:val="00A16424"/>
    <w:rsid w:val="00A22A0B"/>
    <w:rsid w:val="00A23CEB"/>
    <w:rsid w:val="00A24977"/>
    <w:rsid w:val="00A2707D"/>
    <w:rsid w:val="00A306BD"/>
    <w:rsid w:val="00A36BE6"/>
    <w:rsid w:val="00A4207E"/>
    <w:rsid w:val="00A44191"/>
    <w:rsid w:val="00A451C0"/>
    <w:rsid w:val="00A54FFC"/>
    <w:rsid w:val="00A571A1"/>
    <w:rsid w:val="00A63452"/>
    <w:rsid w:val="00A6536F"/>
    <w:rsid w:val="00A733C3"/>
    <w:rsid w:val="00A73957"/>
    <w:rsid w:val="00A73DCC"/>
    <w:rsid w:val="00A73EBA"/>
    <w:rsid w:val="00A74B36"/>
    <w:rsid w:val="00A812D2"/>
    <w:rsid w:val="00A81A7B"/>
    <w:rsid w:val="00A836D7"/>
    <w:rsid w:val="00A84E84"/>
    <w:rsid w:val="00A9158A"/>
    <w:rsid w:val="00A936AD"/>
    <w:rsid w:val="00A93986"/>
    <w:rsid w:val="00AA1DBA"/>
    <w:rsid w:val="00AA4582"/>
    <w:rsid w:val="00AB724D"/>
    <w:rsid w:val="00AC31F5"/>
    <w:rsid w:val="00AC74FA"/>
    <w:rsid w:val="00AD62E3"/>
    <w:rsid w:val="00AD6C83"/>
    <w:rsid w:val="00AD7FF9"/>
    <w:rsid w:val="00AE5D67"/>
    <w:rsid w:val="00AF0F38"/>
    <w:rsid w:val="00AF3C66"/>
    <w:rsid w:val="00AF52DB"/>
    <w:rsid w:val="00AF7358"/>
    <w:rsid w:val="00B006E6"/>
    <w:rsid w:val="00B03E4B"/>
    <w:rsid w:val="00B120B2"/>
    <w:rsid w:val="00B1346C"/>
    <w:rsid w:val="00B13CDB"/>
    <w:rsid w:val="00B26AFF"/>
    <w:rsid w:val="00B30622"/>
    <w:rsid w:val="00B41782"/>
    <w:rsid w:val="00B44490"/>
    <w:rsid w:val="00B44C75"/>
    <w:rsid w:val="00B4659E"/>
    <w:rsid w:val="00B537B4"/>
    <w:rsid w:val="00B630A4"/>
    <w:rsid w:val="00B66CE7"/>
    <w:rsid w:val="00B7285A"/>
    <w:rsid w:val="00B81AC0"/>
    <w:rsid w:val="00B82A5D"/>
    <w:rsid w:val="00B86C6C"/>
    <w:rsid w:val="00B910DC"/>
    <w:rsid w:val="00B92353"/>
    <w:rsid w:val="00B93B99"/>
    <w:rsid w:val="00BA641B"/>
    <w:rsid w:val="00BA6566"/>
    <w:rsid w:val="00BB319F"/>
    <w:rsid w:val="00BB6580"/>
    <w:rsid w:val="00BC15E3"/>
    <w:rsid w:val="00BC19FB"/>
    <w:rsid w:val="00BC53E0"/>
    <w:rsid w:val="00BC553F"/>
    <w:rsid w:val="00BD2558"/>
    <w:rsid w:val="00BD3962"/>
    <w:rsid w:val="00BE21A5"/>
    <w:rsid w:val="00BE2512"/>
    <w:rsid w:val="00BF45D1"/>
    <w:rsid w:val="00BF5D30"/>
    <w:rsid w:val="00BF6371"/>
    <w:rsid w:val="00C00338"/>
    <w:rsid w:val="00C03615"/>
    <w:rsid w:val="00C125C6"/>
    <w:rsid w:val="00C12850"/>
    <w:rsid w:val="00C13E57"/>
    <w:rsid w:val="00C155A8"/>
    <w:rsid w:val="00C15699"/>
    <w:rsid w:val="00C16C15"/>
    <w:rsid w:val="00C17AB1"/>
    <w:rsid w:val="00C23A7E"/>
    <w:rsid w:val="00C2710D"/>
    <w:rsid w:val="00C35C6F"/>
    <w:rsid w:val="00C4036C"/>
    <w:rsid w:val="00C46B17"/>
    <w:rsid w:val="00C510AF"/>
    <w:rsid w:val="00C6137C"/>
    <w:rsid w:val="00C62819"/>
    <w:rsid w:val="00C717AF"/>
    <w:rsid w:val="00C76E92"/>
    <w:rsid w:val="00C84D09"/>
    <w:rsid w:val="00C85459"/>
    <w:rsid w:val="00C86F32"/>
    <w:rsid w:val="00C93AAE"/>
    <w:rsid w:val="00CA21D3"/>
    <w:rsid w:val="00CA4177"/>
    <w:rsid w:val="00CA5B33"/>
    <w:rsid w:val="00CB26E8"/>
    <w:rsid w:val="00CC6BC9"/>
    <w:rsid w:val="00CD20B5"/>
    <w:rsid w:val="00CD379C"/>
    <w:rsid w:val="00CD4185"/>
    <w:rsid w:val="00CD7E5F"/>
    <w:rsid w:val="00CE2A50"/>
    <w:rsid w:val="00CE4517"/>
    <w:rsid w:val="00CE4FC0"/>
    <w:rsid w:val="00CE7624"/>
    <w:rsid w:val="00CE772E"/>
    <w:rsid w:val="00D11C2D"/>
    <w:rsid w:val="00D132ED"/>
    <w:rsid w:val="00D16666"/>
    <w:rsid w:val="00D16783"/>
    <w:rsid w:val="00D21E66"/>
    <w:rsid w:val="00D235C4"/>
    <w:rsid w:val="00D30478"/>
    <w:rsid w:val="00D31985"/>
    <w:rsid w:val="00D32380"/>
    <w:rsid w:val="00D36670"/>
    <w:rsid w:val="00D420DB"/>
    <w:rsid w:val="00D42534"/>
    <w:rsid w:val="00D51CF3"/>
    <w:rsid w:val="00D534D3"/>
    <w:rsid w:val="00D5441B"/>
    <w:rsid w:val="00D60098"/>
    <w:rsid w:val="00D64F98"/>
    <w:rsid w:val="00D651F4"/>
    <w:rsid w:val="00D671BB"/>
    <w:rsid w:val="00D7360F"/>
    <w:rsid w:val="00D7597D"/>
    <w:rsid w:val="00D76861"/>
    <w:rsid w:val="00D77A76"/>
    <w:rsid w:val="00D8091B"/>
    <w:rsid w:val="00D80B31"/>
    <w:rsid w:val="00D81633"/>
    <w:rsid w:val="00D82E69"/>
    <w:rsid w:val="00D85F12"/>
    <w:rsid w:val="00D86957"/>
    <w:rsid w:val="00D91E61"/>
    <w:rsid w:val="00D92B76"/>
    <w:rsid w:val="00DB2B79"/>
    <w:rsid w:val="00DB4501"/>
    <w:rsid w:val="00DC7480"/>
    <w:rsid w:val="00DC7C3F"/>
    <w:rsid w:val="00DD0589"/>
    <w:rsid w:val="00DD0BB0"/>
    <w:rsid w:val="00DD637B"/>
    <w:rsid w:val="00DD7FDB"/>
    <w:rsid w:val="00DE06A3"/>
    <w:rsid w:val="00E030E8"/>
    <w:rsid w:val="00E04176"/>
    <w:rsid w:val="00E05B32"/>
    <w:rsid w:val="00E14688"/>
    <w:rsid w:val="00E14C5F"/>
    <w:rsid w:val="00E240FE"/>
    <w:rsid w:val="00E311D6"/>
    <w:rsid w:val="00E378B9"/>
    <w:rsid w:val="00E40330"/>
    <w:rsid w:val="00E54ED3"/>
    <w:rsid w:val="00E56399"/>
    <w:rsid w:val="00E6506E"/>
    <w:rsid w:val="00E651FB"/>
    <w:rsid w:val="00E77900"/>
    <w:rsid w:val="00E847AD"/>
    <w:rsid w:val="00E8711F"/>
    <w:rsid w:val="00E91A19"/>
    <w:rsid w:val="00E966B1"/>
    <w:rsid w:val="00EA0437"/>
    <w:rsid w:val="00EA59A7"/>
    <w:rsid w:val="00EB418F"/>
    <w:rsid w:val="00EB524A"/>
    <w:rsid w:val="00EB6A32"/>
    <w:rsid w:val="00ED25D5"/>
    <w:rsid w:val="00ED4357"/>
    <w:rsid w:val="00ED6A02"/>
    <w:rsid w:val="00EE051B"/>
    <w:rsid w:val="00EE232C"/>
    <w:rsid w:val="00EE3F70"/>
    <w:rsid w:val="00EE5D0D"/>
    <w:rsid w:val="00EF0E90"/>
    <w:rsid w:val="00EF1B0E"/>
    <w:rsid w:val="00EF6E29"/>
    <w:rsid w:val="00F061BC"/>
    <w:rsid w:val="00F121CB"/>
    <w:rsid w:val="00F13431"/>
    <w:rsid w:val="00F13B45"/>
    <w:rsid w:val="00F16088"/>
    <w:rsid w:val="00F2276C"/>
    <w:rsid w:val="00F23C6D"/>
    <w:rsid w:val="00F24E6F"/>
    <w:rsid w:val="00F253B8"/>
    <w:rsid w:val="00F2645D"/>
    <w:rsid w:val="00F32D47"/>
    <w:rsid w:val="00F33157"/>
    <w:rsid w:val="00F37164"/>
    <w:rsid w:val="00F4735C"/>
    <w:rsid w:val="00F50242"/>
    <w:rsid w:val="00F53155"/>
    <w:rsid w:val="00F5525D"/>
    <w:rsid w:val="00F62E10"/>
    <w:rsid w:val="00F74E9B"/>
    <w:rsid w:val="00F83E95"/>
    <w:rsid w:val="00F84A33"/>
    <w:rsid w:val="00F87172"/>
    <w:rsid w:val="00F94018"/>
    <w:rsid w:val="00FA16A5"/>
    <w:rsid w:val="00FA510C"/>
    <w:rsid w:val="00FB0744"/>
    <w:rsid w:val="00FB095F"/>
    <w:rsid w:val="00FB234C"/>
    <w:rsid w:val="00FB69E7"/>
    <w:rsid w:val="00FC20E9"/>
    <w:rsid w:val="00FC3287"/>
    <w:rsid w:val="00FC4458"/>
    <w:rsid w:val="00FC7BA3"/>
    <w:rsid w:val="00FD75C8"/>
    <w:rsid w:val="00FE70AB"/>
    <w:rsid w:val="00FF2B6D"/>
    <w:rsid w:val="00FF2C1B"/>
    <w:rsid w:val="00FF6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C3C2"/>
  <w15:chartTrackingRefBased/>
  <w15:docId w15:val="{9E5BB167-C98C-4C05-B645-B3660D78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DD"/>
    <w:pPr>
      <w:ind w:left="720"/>
      <w:contextualSpacing/>
    </w:pPr>
  </w:style>
  <w:style w:type="paragraph" w:styleId="Header">
    <w:name w:val="header"/>
    <w:basedOn w:val="Normal"/>
    <w:link w:val="HeaderChar"/>
    <w:uiPriority w:val="99"/>
    <w:unhideWhenUsed/>
    <w:rsid w:val="005A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384"/>
  </w:style>
  <w:style w:type="paragraph" w:styleId="Footer">
    <w:name w:val="footer"/>
    <w:basedOn w:val="Normal"/>
    <w:link w:val="FooterChar"/>
    <w:uiPriority w:val="99"/>
    <w:unhideWhenUsed/>
    <w:rsid w:val="005A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384"/>
  </w:style>
  <w:style w:type="paragraph" w:styleId="FootnoteText">
    <w:name w:val="footnote text"/>
    <w:basedOn w:val="Normal"/>
    <w:link w:val="FootnoteTextChar"/>
    <w:uiPriority w:val="99"/>
    <w:semiHidden/>
    <w:unhideWhenUsed/>
    <w:rsid w:val="00076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25"/>
    <w:rPr>
      <w:sz w:val="20"/>
      <w:szCs w:val="20"/>
    </w:rPr>
  </w:style>
  <w:style w:type="character" w:styleId="FootnoteReference">
    <w:name w:val="footnote reference"/>
    <w:basedOn w:val="DefaultParagraphFont"/>
    <w:uiPriority w:val="99"/>
    <w:semiHidden/>
    <w:unhideWhenUsed/>
    <w:rsid w:val="00076F25"/>
    <w:rPr>
      <w:vertAlign w:val="superscript"/>
    </w:rPr>
  </w:style>
  <w:style w:type="character" w:styleId="Hyperlink">
    <w:name w:val="Hyperlink"/>
    <w:basedOn w:val="DefaultParagraphFont"/>
    <w:uiPriority w:val="99"/>
    <w:unhideWhenUsed/>
    <w:rsid w:val="003F0046"/>
    <w:rPr>
      <w:color w:val="0044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4007">
      <w:bodyDiv w:val="1"/>
      <w:marLeft w:val="0"/>
      <w:marRight w:val="0"/>
      <w:marTop w:val="0"/>
      <w:marBottom w:val="0"/>
      <w:divBdr>
        <w:top w:val="none" w:sz="0" w:space="0" w:color="auto"/>
        <w:left w:val="none" w:sz="0" w:space="0" w:color="auto"/>
        <w:bottom w:val="none" w:sz="0" w:space="0" w:color="auto"/>
        <w:right w:val="none" w:sz="0" w:space="0" w:color="auto"/>
      </w:divBdr>
      <w:divsChild>
        <w:div w:id="838809115">
          <w:marLeft w:val="547"/>
          <w:marRight w:val="0"/>
          <w:marTop w:val="200"/>
          <w:marBottom w:val="0"/>
          <w:divBdr>
            <w:top w:val="none" w:sz="0" w:space="0" w:color="auto"/>
            <w:left w:val="none" w:sz="0" w:space="0" w:color="auto"/>
            <w:bottom w:val="none" w:sz="0" w:space="0" w:color="auto"/>
            <w:right w:val="none" w:sz="0" w:space="0" w:color="auto"/>
          </w:divBdr>
        </w:div>
        <w:div w:id="1652951874">
          <w:marLeft w:val="1166"/>
          <w:marRight w:val="0"/>
          <w:marTop w:val="200"/>
          <w:marBottom w:val="0"/>
          <w:divBdr>
            <w:top w:val="none" w:sz="0" w:space="0" w:color="auto"/>
            <w:left w:val="none" w:sz="0" w:space="0" w:color="auto"/>
            <w:bottom w:val="none" w:sz="0" w:space="0" w:color="auto"/>
            <w:right w:val="none" w:sz="0" w:space="0" w:color="auto"/>
          </w:divBdr>
        </w:div>
        <w:div w:id="521435248">
          <w:marLeft w:val="1166"/>
          <w:marRight w:val="0"/>
          <w:marTop w:val="200"/>
          <w:marBottom w:val="0"/>
          <w:divBdr>
            <w:top w:val="none" w:sz="0" w:space="0" w:color="auto"/>
            <w:left w:val="none" w:sz="0" w:space="0" w:color="auto"/>
            <w:bottom w:val="none" w:sz="0" w:space="0" w:color="auto"/>
            <w:right w:val="none" w:sz="0" w:space="0" w:color="auto"/>
          </w:divBdr>
        </w:div>
      </w:divsChild>
    </w:div>
    <w:div w:id="1929457586">
      <w:bodyDiv w:val="1"/>
      <w:marLeft w:val="0"/>
      <w:marRight w:val="0"/>
      <w:marTop w:val="0"/>
      <w:marBottom w:val="0"/>
      <w:divBdr>
        <w:top w:val="none" w:sz="0" w:space="0" w:color="auto"/>
        <w:left w:val="none" w:sz="0" w:space="0" w:color="auto"/>
        <w:bottom w:val="none" w:sz="0" w:space="0" w:color="auto"/>
        <w:right w:val="none" w:sz="0" w:space="0" w:color="auto"/>
      </w:divBdr>
      <w:divsChild>
        <w:div w:id="1982535554">
          <w:marLeft w:val="547"/>
          <w:marRight w:val="0"/>
          <w:marTop w:val="200"/>
          <w:marBottom w:val="0"/>
          <w:divBdr>
            <w:top w:val="none" w:sz="0" w:space="0" w:color="auto"/>
            <w:left w:val="none" w:sz="0" w:space="0" w:color="auto"/>
            <w:bottom w:val="none" w:sz="0" w:space="0" w:color="auto"/>
            <w:right w:val="none" w:sz="0" w:space="0" w:color="auto"/>
          </w:divBdr>
        </w:div>
        <w:div w:id="1989939009">
          <w:marLeft w:val="1166"/>
          <w:marRight w:val="0"/>
          <w:marTop w:val="200"/>
          <w:marBottom w:val="0"/>
          <w:divBdr>
            <w:top w:val="none" w:sz="0" w:space="0" w:color="auto"/>
            <w:left w:val="none" w:sz="0" w:space="0" w:color="auto"/>
            <w:bottom w:val="none" w:sz="0" w:space="0" w:color="auto"/>
            <w:right w:val="none" w:sz="0" w:space="0" w:color="auto"/>
          </w:divBdr>
        </w:div>
        <w:div w:id="42415390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lii.org/int/cases/EngR/1799/6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5663-4296-4348-8A62-A962BFE8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Hamilton</dc:creator>
  <cp:keywords/>
  <dc:description/>
  <cp:lastModifiedBy>Peter Hamilton</cp:lastModifiedBy>
  <cp:revision>57</cp:revision>
  <dcterms:created xsi:type="dcterms:W3CDTF">2016-02-16T09:43:00Z</dcterms:created>
  <dcterms:modified xsi:type="dcterms:W3CDTF">2018-05-11T04:06:00Z</dcterms:modified>
</cp:coreProperties>
</file>