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022D" w14:textId="1F95AD9E" w:rsidR="00660546" w:rsidRPr="005754F9" w:rsidRDefault="005754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Andrew Sykes - </w:t>
      </w:r>
      <w:r w:rsidR="00660546" w:rsidRPr="005754F9">
        <w:rPr>
          <w:rFonts w:ascii="Arial" w:hAnsi="Arial" w:cs="Arial"/>
          <w:b/>
          <w:sz w:val="20"/>
          <w:szCs w:val="20"/>
        </w:rPr>
        <w:t xml:space="preserve">Selection of </w:t>
      </w:r>
      <w:r w:rsidR="00091238">
        <w:rPr>
          <w:rFonts w:ascii="Arial" w:hAnsi="Arial" w:cs="Arial"/>
          <w:b/>
          <w:sz w:val="20"/>
          <w:szCs w:val="20"/>
        </w:rPr>
        <w:t>Recent Judgments and Decisions</w:t>
      </w:r>
      <w:r w:rsidR="00585295" w:rsidRPr="005754F9">
        <w:rPr>
          <w:rFonts w:ascii="Arial" w:hAnsi="Arial" w:cs="Arial"/>
          <w:b/>
          <w:sz w:val="20"/>
          <w:szCs w:val="20"/>
        </w:rPr>
        <w:t xml:space="preserve"> </w:t>
      </w:r>
      <w:r w:rsidR="006A0B08" w:rsidRPr="005754F9">
        <w:rPr>
          <w:rFonts w:ascii="Arial" w:hAnsi="Arial" w:cs="Arial"/>
          <w:b/>
          <w:sz w:val="20"/>
          <w:szCs w:val="20"/>
        </w:rPr>
        <w:t>(</w:t>
      </w:r>
      <w:r w:rsidR="0044285D" w:rsidRPr="005754F9">
        <w:rPr>
          <w:rFonts w:ascii="Arial" w:hAnsi="Arial" w:cs="Arial"/>
          <w:b/>
          <w:sz w:val="20"/>
          <w:szCs w:val="20"/>
        </w:rPr>
        <w:t>from 2017 onwards</w:t>
      </w:r>
      <w:r w:rsidR="006A0B08" w:rsidRPr="005754F9">
        <w:rPr>
          <w:rFonts w:ascii="Arial" w:hAnsi="Arial" w:cs="Arial"/>
          <w:b/>
          <w:sz w:val="20"/>
          <w:szCs w:val="20"/>
        </w:rPr>
        <w:t>)</w:t>
      </w:r>
    </w:p>
    <w:p w14:paraId="206AF1C0" w14:textId="41C92373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5C61BE4E" w14:textId="70CEF6C3" w:rsidR="00660546" w:rsidRPr="00D24FA7" w:rsidRDefault="00660546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Trade Marks &amp; Passing Off</w:t>
      </w:r>
      <w:r w:rsidR="009338E8">
        <w:rPr>
          <w:rFonts w:ascii="Arial" w:hAnsi="Arial" w:cs="Arial"/>
          <w:b/>
          <w:sz w:val="20"/>
          <w:szCs w:val="20"/>
        </w:rPr>
        <w:t xml:space="preserve"> – As Counsel</w:t>
      </w:r>
    </w:p>
    <w:p w14:paraId="294028F3" w14:textId="056C9587" w:rsidR="00D425F1" w:rsidRPr="00D425F1" w:rsidRDefault="00D425F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Clarendon Lawyers Pty Ltd v. Cornwalls Lawyers Pty Ltd </w:t>
      </w:r>
      <w:r>
        <w:rPr>
          <w:rFonts w:ascii="Arial" w:hAnsi="Arial" w:cs="Arial"/>
          <w:sz w:val="20"/>
          <w:szCs w:val="20"/>
        </w:rPr>
        <w:t>[2020] ATMO 192</w:t>
      </w:r>
    </w:p>
    <w:p w14:paraId="3E04EE24" w14:textId="1FE82E2D" w:rsidR="00CF3BD2" w:rsidRPr="00CF3BD2" w:rsidRDefault="00CF3BD2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Cohga Pty Ltd v. Google LLC </w:t>
      </w:r>
      <w:r>
        <w:rPr>
          <w:rFonts w:ascii="Arial" w:hAnsi="Arial" w:cs="Arial"/>
          <w:sz w:val="20"/>
          <w:szCs w:val="20"/>
        </w:rPr>
        <w:t>[2020] ATMO 189</w:t>
      </w:r>
    </w:p>
    <w:p w14:paraId="627160DF" w14:textId="13F52123" w:rsidR="00765342" w:rsidRDefault="00765342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Fonts w:ascii="Arial" w:hAnsi="Arial" w:cs="Arial"/>
          <w:i/>
          <w:iCs/>
          <w:sz w:val="20"/>
          <w:szCs w:val="20"/>
        </w:rPr>
        <w:t>Pinnacle Runway Pty Ltd v. Triangl Limited</w:t>
      </w:r>
      <w:r>
        <w:rPr>
          <w:rFonts w:ascii="Arial" w:hAnsi="Arial" w:cs="Arial"/>
          <w:sz w:val="20"/>
          <w:szCs w:val="20"/>
        </w:rPr>
        <w:t xml:space="preserve"> (No.3)</w:t>
      </w:r>
      <w:r w:rsidR="007237D4">
        <w:rPr>
          <w:rFonts w:ascii="Arial" w:hAnsi="Arial" w:cs="Arial"/>
          <w:sz w:val="20"/>
          <w:szCs w:val="20"/>
        </w:rPr>
        <w:t xml:space="preserve"> [2020] FCA 1379</w:t>
      </w:r>
      <w:r>
        <w:rPr>
          <w:rFonts w:ascii="Arial" w:hAnsi="Arial" w:cs="Arial"/>
          <w:sz w:val="20"/>
          <w:szCs w:val="20"/>
        </w:rPr>
        <w:t xml:space="preserve"> (Led by T Cordiner QC)</w:t>
      </w:r>
    </w:p>
    <w:p w14:paraId="4238D67A" w14:textId="5EBD441C" w:rsidR="00502F47" w:rsidRDefault="00502F4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Happy Skincare Pty Ltd ATF Breckell Family Trust v. Happy Skin Co Pty Ltd </w:t>
      </w:r>
      <w:r>
        <w:rPr>
          <w:rFonts w:ascii="Arial" w:hAnsi="Arial" w:cs="Arial"/>
          <w:sz w:val="20"/>
          <w:szCs w:val="20"/>
        </w:rPr>
        <w:t>[2020] ATMO 92</w:t>
      </w:r>
    </w:p>
    <w:p w14:paraId="67B00B71" w14:textId="25297339" w:rsidR="00497024" w:rsidRDefault="00497024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Victoria Beckham v. VB Skinlab Pty Ltd </w:t>
      </w:r>
      <w:r>
        <w:rPr>
          <w:rFonts w:ascii="Arial" w:hAnsi="Arial" w:cs="Arial"/>
          <w:sz w:val="20"/>
          <w:szCs w:val="20"/>
        </w:rPr>
        <w:t>[2020] ATMO 36 (also counsel for Ms Beckham in the resolved appeal)</w:t>
      </w:r>
    </w:p>
    <w:p w14:paraId="42361BF6" w14:textId="64DC38AF" w:rsidR="00E859B1" w:rsidRDefault="00E859B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Coffee Republic Australia Pty Ltd v. Espresso Republic LLC </w:t>
      </w:r>
      <w:r>
        <w:rPr>
          <w:rFonts w:ascii="Arial" w:hAnsi="Arial" w:cs="Arial"/>
          <w:sz w:val="20"/>
          <w:szCs w:val="20"/>
        </w:rPr>
        <w:t>[2020] ATMO 31</w:t>
      </w:r>
    </w:p>
    <w:p w14:paraId="0B408E6F" w14:textId="106BC492" w:rsidR="00D47975" w:rsidRDefault="00D47975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Murley Pty Ltd v. The Craft &amp; Co Pty Ltd </w:t>
      </w:r>
      <w:r>
        <w:rPr>
          <w:rFonts w:ascii="Arial" w:hAnsi="Arial" w:cs="Arial"/>
          <w:sz w:val="20"/>
          <w:szCs w:val="20"/>
        </w:rPr>
        <w:t>[2020] ATMO 2</w:t>
      </w:r>
    </w:p>
    <w:p w14:paraId="76AFF7CD" w14:textId="640C1E79" w:rsidR="0099592C" w:rsidRDefault="0099592C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Swole Gym Wear Group Pty Ltd v. Swole O’Clock Ltd </w:t>
      </w:r>
      <w:r>
        <w:rPr>
          <w:rFonts w:ascii="Arial" w:hAnsi="Arial" w:cs="Arial"/>
          <w:sz w:val="20"/>
          <w:szCs w:val="20"/>
        </w:rPr>
        <w:t>[2019] FCA 685</w:t>
      </w:r>
    </w:p>
    <w:p w14:paraId="3FF9F880" w14:textId="483277E7" w:rsidR="0050418F" w:rsidRDefault="0050418F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Darwin Funeral Services Pty Ltd </w:t>
      </w:r>
      <w:r>
        <w:rPr>
          <w:rFonts w:ascii="Arial" w:hAnsi="Arial" w:cs="Arial"/>
          <w:sz w:val="20"/>
          <w:szCs w:val="20"/>
        </w:rPr>
        <w:t>[2019] ATMO 142</w:t>
      </w:r>
    </w:p>
    <w:p w14:paraId="7F03B351" w14:textId="54A1B621" w:rsid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Fonts w:ascii="Arial" w:hAnsi="Arial" w:cs="Arial"/>
          <w:i/>
          <w:iCs/>
          <w:sz w:val="20"/>
          <w:szCs w:val="20"/>
        </w:rPr>
        <w:t>Pinnacle Runway Pty Ltd v. Triangl Limited</w:t>
      </w:r>
      <w:r>
        <w:rPr>
          <w:rFonts w:ascii="Arial" w:hAnsi="Arial" w:cs="Arial"/>
          <w:sz w:val="20"/>
          <w:szCs w:val="20"/>
        </w:rPr>
        <w:t xml:space="preserve"> (No.2) (2019) 148 IPR 211 (Led by S Stuckey QC)</w:t>
      </w:r>
    </w:p>
    <w:p w14:paraId="470419C4" w14:textId="5AD4E9D3" w:rsid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Ezy Auto Pty Ltd v. Ezyauto Pty Ltd </w:t>
      </w:r>
      <w:r>
        <w:rPr>
          <w:rFonts w:ascii="Arial" w:hAnsi="Arial" w:cs="Arial"/>
          <w:sz w:val="20"/>
          <w:szCs w:val="20"/>
        </w:rPr>
        <w:t>(2019) 151 IPR 47</w:t>
      </w:r>
    </w:p>
    <w:p w14:paraId="351B3BB0" w14:textId="52311A7F" w:rsidR="002F6886" w:rsidRP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Factory Direct Garage Doors Pty Ltd v. Starship Australia Pty Ltd </w:t>
      </w:r>
      <w:r>
        <w:rPr>
          <w:rFonts w:ascii="Arial" w:hAnsi="Arial" w:cs="Arial"/>
          <w:sz w:val="20"/>
          <w:szCs w:val="20"/>
        </w:rPr>
        <w:t>(2019) 147 IPR 149</w:t>
      </w:r>
    </w:p>
    <w:p w14:paraId="18219A12" w14:textId="50B8F3E4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Paypal, Inc v Finpal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[2018] ATMO 196 (10 December 2018)</w:t>
        </w:r>
      </w:hyperlink>
    </w:p>
    <w:p w14:paraId="5C20650D" w14:textId="5C9AF5AA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Active Skin P/L v Yey P/L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3346F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)</w:t>
        </w:r>
      </w:hyperlink>
      <w:r w:rsidR="003346FC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145 IPR 499</w:t>
      </w:r>
    </w:p>
    <w:p w14:paraId="61D18C9F" w14:textId="26212710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Agave Loco LLC v DZ Licores SLU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CF2F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="00CF2FF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147 IPR 44</w:t>
      </w:r>
    </w:p>
    <w:p w14:paraId="3F0C94FD" w14:textId="066CA5A7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Macy's Merchandising Group Inc v Sheertex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="00042C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149 IPR 33</w:t>
      </w:r>
    </w:p>
    <w:p w14:paraId="60BC96F5" w14:textId="77777777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Swole Gym Wear Group Pty Ltd v Swole O'Clock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[2018] ATMO 129 (16 August 2018)</w:t>
        </w:r>
      </w:hyperlink>
    </w:p>
    <w:p w14:paraId="3DF8282B" w14:textId="77777777" w:rsidR="006C504B" w:rsidRPr="00AC634F" w:rsidRDefault="006D462A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TWM Imports Pty Ltd v Hangzhou Great Star Industrial Co.,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[2018] ATMO 61 (1 May 2018)</w:t>
        </w:r>
      </w:hyperlink>
    </w:p>
    <w:p w14:paraId="7429DA6D" w14:textId="05A5C42A" w:rsidR="006C504B" w:rsidRPr="00765342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begin"/>
      </w: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instrText xml:space="preserve"> HYPERLINK "https://advance.lexis.com/search/?pdmfid=1201008&amp;crid=b24c1a72-e7ed-4c4c-a467-4ad74a545b8a&amp;pdsearchterms=136+ipr+401&amp;pdicsfeatureid=1517127&amp;pdstartin=hlct%3A1%3A1&amp;pdtypeofsearch=searchboxclick&amp;pdsearchtype=SearchBox&amp;pdqttype=and&amp;pdpsf=his%3A1%3A1&amp;pdquerytemplateid=&amp;ecomp=1pcck&amp;earg=pdpsf&amp;prid=eab014e1-4ae4-4074-8f77-703ff1dec47c" </w:instrText>
      </w: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separate"/>
      </w:r>
      <w:r w:rsidR="006C504B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>Council of the City of Shellharbour v Bright Events Pty Ltd</w:t>
      </w:r>
      <w:r w:rsidR="007067DC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7067DC" w:rsidRPr="00042C8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(2018)</w:t>
      </w:r>
      <w:r w:rsidR="007067DC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7067DC" w:rsidRPr="00765342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136 IPR 401</w:t>
      </w:r>
    </w:p>
    <w:p w14:paraId="04AD7B84" w14:textId="04213A48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end"/>
      </w:r>
      <w:hyperlink r:id="rId11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Juno Pharmaceuticals Inc v Juno Therapeutics Inc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7067DC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(2017) 132 IPR 107</w:t>
        </w:r>
      </w:hyperlink>
    </w:p>
    <w:p w14:paraId="0E682A6F" w14:textId="2FB0A7DA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2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Martin &amp; Pleasance Wholesale Pty Ltd v Biz-Oz Pty Ltd</w:t>
        </w:r>
        <w:r w:rsidR="00DA561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(2017) 132 IPR 450</w:t>
        </w:r>
      </w:hyperlink>
    </w:p>
    <w:p w14:paraId="4D308FA2" w14:textId="4F75CF7B" w:rsidR="006C504B" w:rsidRPr="00AC634F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begin"/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instrText xml:space="preserve"> HYPERLINK "https://advance.lexis.com/search/?pdmfid=1201008&amp;crid=09dc657c-972d-450a-8fc2-8590f455f783&amp;pdsearchterms=132+IPR+372&amp;pdicsfeatureid=1517127&amp;pdstartin=hlct%3A1%3A1&amp;pdtypeofsearch=searchboxclick&amp;pdsearchtype=SearchBox&amp;pdqttype=and&amp;pdpsf=his%3A1%3A1&amp;pdquerytemplateid=&amp;ecomp=7g36k&amp;earg=pdpsf&amp;prid=25f97776-d48e-44f3-a766-5d26192d2bc5" </w:instrTex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separate"/>
      </w:r>
      <w:r w:rsidR="006C504B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Keune Haircosmetics Manufacturing BV v Guangzhou Hodm Professionals Cosmetics Co Ltd</w: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(2017) 132 IPR 372</w:t>
      </w:r>
    </w:p>
    <w:p w14:paraId="5B03133D" w14:textId="29CD6E87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end"/>
      </w:r>
      <w:hyperlink r:id="rId13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Nhon Hoa Nguyen v Aardwolf Australia Pty Ltd</w:t>
        </w:r>
        <w:r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(2017) 130 IPR 209</w:t>
        </w:r>
      </w:hyperlink>
    </w:p>
    <w:p w14:paraId="2005FFC0" w14:textId="77777777" w:rsidR="006C504B" w:rsidRPr="00AC634F" w:rsidRDefault="006D462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Teka Industrial SA v Deka Australia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[2017] ATMO 47 (24 May 2017)</w:t>
        </w:r>
      </w:hyperlink>
    </w:p>
    <w:p w14:paraId="54ADCA45" w14:textId="17DE90A2" w:rsidR="003F7425" w:rsidRPr="00091238" w:rsidRDefault="006D462A" w:rsidP="0009123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Five V's Pty Ltd v La Gaia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[2017] ATMO 31 (11 April 2017)</w:t>
        </w:r>
      </w:hyperlink>
    </w:p>
    <w:p w14:paraId="7598E581" w14:textId="505F4C5A" w:rsidR="00D47D04" w:rsidRPr="00091238" w:rsidRDefault="00D47D04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>Activated Carbon Technologies v. Carbon Activated Corp Australia Pty Ltd</w: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</w:t>
      </w:r>
      <w:r w:rsidR="00105B1D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CI-18-02788)</w:t>
      </w:r>
    </w:p>
    <w:p w14:paraId="7300E6B1" w14:textId="62586F38" w:rsidR="00091238" w:rsidRDefault="00091238" w:rsidP="00091238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5AF9FDE" w14:textId="5EC8C406" w:rsidR="00091238" w:rsidRPr="00091238" w:rsidRDefault="00091238" w:rsidP="00091238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9123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Other areas of intellectual property</w:t>
      </w:r>
      <w:r w:rsidR="0012203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, technology</w:t>
      </w:r>
      <w:r w:rsidRPr="0009123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and law</w:t>
      </w:r>
      <w:r w:rsidR="009338E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– As Counsel</w:t>
      </w:r>
    </w:p>
    <w:p w14:paraId="130E57F1" w14:textId="35998AC5" w:rsidR="006D462A" w:rsidRPr="006D462A" w:rsidRDefault="006D462A" w:rsidP="006D462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042C87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DST Bluedoor Pty Ltd v. AMP Services Ltd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20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] 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VSC 254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Led by S Stuckey QC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)</w:t>
        </w:r>
      </w:hyperlink>
      <w:r w:rsidR="00042C8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– Software, Restraint of Trade.</w:t>
      </w:r>
    </w:p>
    <w:p w14:paraId="7C8DF169" w14:textId="5E6D824E" w:rsidR="00042C87" w:rsidRDefault="0060069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Guardian v. Kwong &amp; Crockett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[2020] VCC 1391 – </w:t>
      </w:r>
      <w:r w:rsidR="00AA220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Computer Data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Confidential Information</w:t>
      </w:r>
    </w:p>
    <w:p w14:paraId="2A2CC2E7" w14:textId="0A6E956C" w:rsidR="006D462A" w:rsidRDefault="006D462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Adelaide Oval Hotel Pty Ltd and Anor v. Hines Property Asset Services Pty Ltd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(2020) WIPO Case No. DAU2020-0021 – Domain Names</w:t>
      </w:r>
    </w:p>
    <w:p w14:paraId="14FEE710" w14:textId="46654429" w:rsidR="007F7A7A" w:rsidRPr="00091238" w:rsidRDefault="007F7A7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Reflex Instruments Asia Pacific Pty Ltd v. Minnovare Limited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[2017] APO 8</w:t>
      </w:r>
      <w:r w:rsidR="00766A4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Patents</w:t>
      </w:r>
    </w:p>
    <w:p w14:paraId="64FE5150" w14:textId="0B8260C1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61FC579C" w14:textId="5F21161D" w:rsidR="002718FA" w:rsidRPr="00D24FA7" w:rsidRDefault="00660546" w:rsidP="008948B8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Domain Names – As an International Arbitrator</w:t>
      </w:r>
    </w:p>
    <w:p w14:paraId="0CFD81A3" w14:textId="255C0A38" w:rsidR="002C2895" w:rsidRPr="002C2895" w:rsidRDefault="002C2895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Carlo Cortese </w:t>
      </w:r>
      <w:r>
        <w:rPr>
          <w:rFonts w:ascii="Arial" w:hAnsi="Arial" w:cs="Arial"/>
          <w:sz w:val="20"/>
          <w:szCs w:val="20"/>
        </w:rPr>
        <w:t>(2020) CAC 103389</w:t>
      </w:r>
    </w:p>
    <w:p w14:paraId="34D52BB4" w14:textId="1DA2E37A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Novartis AG v. shenchaoyong </w:t>
      </w:r>
      <w:r>
        <w:rPr>
          <w:rFonts w:ascii="Arial" w:hAnsi="Arial" w:cs="Arial"/>
          <w:sz w:val="20"/>
          <w:szCs w:val="20"/>
        </w:rPr>
        <w:t>(2020) CAC 103326</w:t>
      </w:r>
    </w:p>
    <w:p w14:paraId="1C5E1872" w14:textId="1E9882A9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Roberta Esposito </w:t>
      </w:r>
      <w:r>
        <w:rPr>
          <w:rFonts w:ascii="Arial" w:hAnsi="Arial" w:cs="Arial"/>
          <w:sz w:val="20"/>
          <w:szCs w:val="20"/>
        </w:rPr>
        <w:t>(2020) CAC 103313</w:t>
      </w:r>
    </w:p>
    <w:p w14:paraId="5BD93F98" w14:textId="6ADB234A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Boursorama SA v. Regolo Greece </w:t>
      </w:r>
      <w:r>
        <w:rPr>
          <w:rFonts w:ascii="Arial" w:hAnsi="Arial" w:cs="Arial"/>
          <w:sz w:val="20"/>
          <w:szCs w:val="20"/>
        </w:rPr>
        <w:t>(2020) CAC 103201</w:t>
      </w:r>
    </w:p>
    <w:p w14:paraId="73E5B9ED" w14:textId="093CE7E3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Boehringer Ingelheim Pharma GmbH &amp; Co. KG v. Fundacion Comercio Electronico </w:t>
      </w:r>
      <w:r>
        <w:rPr>
          <w:rFonts w:ascii="Arial" w:hAnsi="Arial" w:cs="Arial"/>
          <w:sz w:val="20"/>
          <w:szCs w:val="20"/>
        </w:rPr>
        <w:t>(2020) CAC 103132</w:t>
      </w:r>
    </w:p>
    <w:p w14:paraId="00989DA0" w14:textId="1B621BB3" w:rsidR="00625670" w:rsidRDefault="0062567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Victorian Ambulance Union v. Hall Payne Lawyers </w:t>
      </w:r>
      <w:r>
        <w:rPr>
          <w:rFonts w:ascii="Arial" w:hAnsi="Arial" w:cs="Arial"/>
          <w:sz w:val="20"/>
          <w:szCs w:val="20"/>
        </w:rPr>
        <w:t>(2020) AIAC/ADNDRC-809-2020</w:t>
      </w:r>
    </w:p>
    <w:p w14:paraId="660DC7FE" w14:textId="19FBFA57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Xavier Dylan </w:t>
      </w:r>
      <w:r>
        <w:rPr>
          <w:rFonts w:ascii="Arial" w:hAnsi="Arial" w:cs="Arial"/>
          <w:sz w:val="20"/>
          <w:szCs w:val="20"/>
        </w:rPr>
        <w:t xml:space="preserve">(2019) </w:t>
      </w:r>
      <w:r w:rsidR="009338E8">
        <w:rPr>
          <w:rFonts w:ascii="Arial" w:hAnsi="Arial" w:cs="Arial"/>
          <w:sz w:val="20"/>
          <w:szCs w:val="20"/>
        </w:rPr>
        <w:t>CAC 102599</w:t>
      </w:r>
    </w:p>
    <w:p w14:paraId="72BF8E2E" w14:textId="671B8348" w:rsidR="009338E8" w:rsidRDefault="009338E8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Hugo Boss Trade Mark Management GmbH &amp; Co. v. wang su qing </w:t>
      </w:r>
      <w:r>
        <w:rPr>
          <w:rFonts w:ascii="Arial" w:hAnsi="Arial" w:cs="Arial"/>
          <w:sz w:val="20"/>
          <w:szCs w:val="20"/>
        </w:rPr>
        <w:t>(2019) CAC 102514</w:t>
      </w:r>
    </w:p>
    <w:p w14:paraId="258842B7" w14:textId="055FF594" w:rsidR="0096205A" w:rsidRDefault="0096205A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Coil services (Byron King) </w:t>
      </w:r>
      <w:r>
        <w:rPr>
          <w:rFonts w:ascii="Arial" w:hAnsi="Arial" w:cs="Arial"/>
          <w:sz w:val="20"/>
          <w:szCs w:val="20"/>
        </w:rPr>
        <w:t>(2019) CAC 102503</w:t>
      </w:r>
    </w:p>
    <w:p w14:paraId="4D5CF473" w14:textId="65C8428C" w:rsidR="0096205A" w:rsidRPr="00376967" w:rsidRDefault="0096205A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Acindar Industria Argentina De Aceros S.A. v. Sandeep Rangu </w:t>
      </w:r>
      <w:r>
        <w:rPr>
          <w:rFonts w:ascii="Arial" w:hAnsi="Arial" w:cs="Arial"/>
          <w:sz w:val="20"/>
          <w:szCs w:val="20"/>
        </w:rPr>
        <w:t>(2019) CAC 102400</w:t>
      </w:r>
    </w:p>
    <w:p w14:paraId="6A5981E5" w14:textId="63CFC569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Boursorama SA v An entity using the pseudonym ‘Technology Vavelle’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(2019) CAC 102331</w:t>
      </w:r>
    </w:p>
    <w:p w14:paraId="52B942AD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RueDuCommerce v Jean-Louis Conte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102217</w:t>
      </w:r>
    </w:p>
    <w:p w14:paraId="31DE2574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Amundi S.A v Milen Radmilo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102149</w:t>
      </w:r>
    </w:p>
    <w:p w14:paraId="350AF219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Sparco S.p.A v Grillstuff, LLC.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102055</w:t>
      </w:r>
    </w:p>
    <w:p w14:paraId="2F0F292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ArcelorMittal SA v Rajkamal Gupta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101986</w:t>
      </w:r>
    </w:p>
    <w:p w14:paraId="6B62CA9D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Boehringer Ingelheim Pharma GmbH &amp; Co. KG v Pelres Investments Ltd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101965</w:t>
      </w:r>
    </w:p>
    <w:p w14:paraId="24F8BF88" w14:textId="5C9AC540" w:rsidR="008771E0" w:rsidRPr="008771E0" w:rsidRDefault="008771E0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Credit Mutuel Arkea v BeninWeb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101915</w:t>
      </w:r>
    </w:p>
    <w:p w14:paraId="0CEC05BC" w14:textId="541B76DC" w:rsidR="008771E0" w:rsidRPr="008771E0" w:rsidRDefault="008771E0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JCDECAUX SA v James White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101852</w:t>
      </w:r>
    </w:p>
    <w:p w14:paraId="12D7B02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Phillip Plein v Chen JieQing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101748</w:t>
      </w:r>
    </w:p>
    <w:p w14:paraId="030DA858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Bollore v Wirelord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101689</w:t>
      </w:r>
    </w:p>
    <w:p w14:paraId="1B6323D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Intesta Sanpaolo S.p.A v Giovanni Cusco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101603</w:t>
      </w:r>
    </w:p>
    <w:p w14:paraId="6FF64E7C" w14:textId="47238BB9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Credit Agricole S.A v Thomas Horcholles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101523</w:t>
      </w:r>
    </w:p>
    <w:p w14:paraId="1650B751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Dorne WSBK Organization S.R.L v Sawebs Internet Solution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101461</w:t>
      </w:r>
    </w:p>
    <w:p w14:paraId="3A8C0C09" w14:textId="55F2BF1E" w:rsidR="00B75A89" w:rsidRPr="000D2803" w:rsidRDefault="00B75A89" w:rsidP="000D2803">
      <w:pPr>
        <w:pStyle w:val="ListParagraph"/>
        <w:rPr>
          <w:rFonts w:ascii="Arial" w:hAnsi="Arial" w:cs="Arial"/>
          <w:sz w:val="20"/>
          <w:szCs w:val="20"/>
        </w:rPr>
      </w:pPr>
    </w:p>
    <w:p w14:paraId="1456A308" w14:textId="5AB92A6B" w:rsidR="00660546" w:rsidRPr="00D24FA7" w:rsidRDefault="00660546">
      <w:pPr>
        <w:rPr>
          <w:rFonts w:ascii="Arial" w:hAnsi="Arial" w:cs="Arial"/>
          <w:b/>
          <w:sz w:val="20"/>
          <w:szCs w:val="20"/>
        </w:rPr>
      </w:pPr>
    </w:p>
    <w:p w14:paraId="53BE2CFA" w14:textId="41D05FEB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71FC7FD4" w14:textId="77777777" w:rsidR="00660546" w:rsidRPr="00AC634F" w:rsidRDefault="00660546">
      <w:pPr>
        <w:rPr>
          <w:rFonts w:ascii="Arial" w:hAnsi="Arial" w:cs="Arial"/>
          <w:sz w:val="20"/>
          <w:szCs w:val="20"/>
        </w:rPr>
      </w:pPr>
    </w:p>
    <w:sectPr w:rsidR="00660546" w:rsidRPr="00AC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20EDC3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" w15:restartNumberingAfterBreak="0">
    <w:nsid w:val="213F33E4"/>
    <w:multiLevelType w:val="hybridMultilevel"/>
    <w:tmpl w:val="DFF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2A4"/>
    <w:multiLevelType w:val="hybridMultilevel"/>
    <w:tmpl w:val="6BCC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6ADE"/>
    <w:multiLevelType w:val="hybridMultilevel"/>
    <w:tmpl w:val="09D2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6"/>
    <w:rsid w:val="0001628D"/>
    <w:rsid w:val="00042C87"/>
    <w:rsid w:val="00046FBE"/>
    <w:rsid w:val="00056934"/>
    <w:rsid w:val="00091238"/>
    <w:rsid w:val="00091FE6"/>
    <w:rsid w:val="000C507E"/>
    <w:rsid w:val="000D2803"/>
    <w:rsid w:val="00105B1D"/>
    <w:rsid w:val="00114033"/>
    <w:rsid w:val="0012203C"/>
    <w:rsid w:val="001868D1"/>
    <w:rsid w:val="001F6B55"/>
    <w:rsid w:val="0021758C"/>
    <w:rsid w:val="002718FA"/>
    <w:rsid w:val="002C2895"/>
    <w:rsid w:val="002C56AB"/>
    <w:rsid w:val="002F6886"/>
    <w:rsid w:val="00315683"/>
    <w:rsid w:val="003346FC"/>
    <w:rsid w:val="00376967"/>
    <w:rsid w:val="003F7425"/>
    <w:rsid w:val="0041449E"/>
    <w:rsid w:val="0044285D"/>
    <w:rsid w:val="004957C2"/>
    <w:rsid w:val="00497024"/>
    <w:rsid w:val="00502F47"/>
    <w:rsid w:val="0050418F"/>
    <w:rsid w:val="00532005"/>
    <w:rsid w:val="005754F9"/>
    <w:rsid w:val="00585295"/>
    <w:rsid w:val="00595F70"/>
    <w:rsid w:val="005C3939"/>
    <w:rsid w:val="005D46E7"/>
    <w:rsid w:val="0060069A"/>
    <w:rsid w:val="00625670"/>
    <w:rsid w:val="00651CC1"/>
    <w:rsid w:val="00660546"/>
    <w:rsid w:val="00684906"/>
    <w:rsid w:val="006A0B08"/>
    <w:rsid w:val="006C504B"/>
    <w:rsid w:val="006D3F89"/>
    <w:rsid w:val="006D462A"/>
    <w:rsid w:val="007067DC"/>
    <w:rsid w:val="007237D4"/>
    <w:rsid w:val="00732AF2"/>
    <w:rsid w:val="00765342"/>
    <w:rsid w:val="00766A47"/>
    <w:rsid w:val="007948FB"/>
    <w:rsid w:val="007E1A02"/>
    <w:rsid w:val="007F7A7A"/>
    <w:rsid w:val="00846614"/>
    <w:rsid w:val="008771E0"/>
    <w:rsid w:val="008948B8"/>
    <w:rsid w:val="00897AA1"/>
    <w:rsid w:val="009338E8"/>
    <w:rsid w:val="0096205A"/>
    <w:rsid w:val="00963F28"/>
    <w:rsid w:val="0099592C"/>
    <w:rsid w:val="00AA2208"/>
    <w:rsid w:val="00AC634F"/>
    <w:rsid w:val="00B75A89"/>
    <w:rsid w:val="00B90A49"/>
    <w:rsid w:val="00CC0378"/>
    <w:rsid w:val="00CF2FFE"/>
    <w:rsid w:val="00CF3BD2"/>
    <w:rsid w:val="00D12FCF"/>
    <w:rsid w:val="00D24FA7"/>
    <w:rsid w:val="00D425F1"/>
    <w:rsid w:val="00D471C1"/>
    <w:rsid w:val="00D47975"/>
    <w:rsid w:val="00D47D04"/>
    <w:rsid w:val="00DA5617"/>
    <w:rsid w:val="00E25920"/>
    <w:rsid w:val="00E41A99"/>
    <w:rsid w:val="00E859B1"/>
    <w:rsid w:val="00ED746D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8BDF"/>
  <w15:chartTrackingRefBased/>
  <w15:docId w15:val="{3B65A58C-4B33-4BBB-A899-25549A5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84906"/>
    <w:pPr>
      <w:numPr>
        <w:numId w:val="4"/>
      </w:numPr>
      <w:spacing w:after="120" w:line="360" w:lineRule="auto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link w:val="Heading2Char"/>
    <w:qFormat/>
    <w:rsid w:val="00684906"/>
    <w:pPr>
      <w:numPr>
        <w:ilvl w:val="1"/>
        <w:numId w:val="4"/>
      </w:numPr>
      <w:spacing w:after="120" w:line="360" w:lineRule="auto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684906"/>
    <w:pPr>
      <w:numPr>
        <w:ilvl w:val="2"/>
        <w:numId w:val="4"/>
      </w:numPr>
      <w:spacing w:after="120" w:line="360" w:lineRule="auto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684906"/>
    <w:pPr>
      <w:numPr>
        <w:ilvl w:val="3"/>
        <w:numId w:val="4"/>
      </w:numPr>
      <w:spacing w:after="120" w:line="36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684906"/>
    <w:pPr>
      <w:numPr>
        <w:ilvl w:val="4"/>
        <w:numId w:val="4"/>
      </w:numPr>
      <w:spacing w:after="120" w:line="36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684906"/>
    <w:pPr>
      <w:numPr>
        <w:ilvl w:val="5"/>
        <w:numId w:val="4"/>
      </w:numPr>
      <w:spacing w:after="120" w:line="36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link w:val="Heading7Char"/>
    <w:qFormat/>
    <w:rsid w:val="00684906"/>
    <w:pPr>
      <w:numPr>
        <w:ilvl w:val="6"/>
        <w:numId w:val="4"/>
      </w:numPr>
      <w:spacing w:after="120" w:line="36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link w:val="Heading8Char"/>
    <w:qFormat/>
    <w:rsid w:val="00684906"/>
    <w:pPr>
      <w:numPr>
        <w:ilvl w:val="7"/>
        <w:numId w:val="4"/>
      </w:numPr>
      <w:spacing w:after="120" w:line="36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link w:val="Heading9Char"/>
    <w:qFormat/>
    <w:rsid w:val="00684906"/>
    <w:pPr>
      <w:numPr>
        <w:ilvl w:val="8"/>
        <w:numId w:val="4"/>
      </w:numPr>
      <w:spacing w:after="120" w:line="36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04B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8490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cth/ATMO/2018/135.html?context=1;query=%22Andrew%20Sykes%22;mask_path=au/cases/cth/ATMO" TargetMode="External"/><Relationship Id="rId13" Type="http://schemas.openxmlformats.org/officeDocument/2006/relationships/hyperlink" Target="https://advance.lexis.com/search/?pdmfid=1201008&amp;crid=2a5c9c75-cbb2-467a-9811-5164e5e54cd2&amp;pdsearchterms=130+IPR+209&amp;pdicsfeatureid=1517127&amp;pdstartin=hlct%3A1%3A1&amp;pdtypeofsearch=searchboxclick&amp;pdsearchtype=SearchBox&amp;pdqttype=and&amp;pdpsf=his%3A1%3A1&amp;pdquerytemplateid=&amp;ecomp=7g36k&amp;earg=pdpsf&amp;prid=09dc657c-972d-450a-8fc2-8590f455f7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cgi-bin/viewdoc/au/cases/cth/ATMO/2018/187.html?context=1;query=%22Andrew%20Sykes%22;mask_path=au/cases/cth/ATMO" TargetMode="External"/><Relationship Id="rId12" Type="http://schemas.openxmlformats.org/officeDocument/2006/relationships/hyperlink" Target="https://advance.lexis.com/document/onecase/?pdmfid=1201008&amp;crid=25f97776-d48e-44f3-a766-5d26192d2bc5&amp;pddocfullpath=%2Fshared%2Fdocument%2Fcases-au%2Furn%3AcontentItem%3A5T33-SG91-F4W2-613X-00000-00&amp;pdcontentcomponentid=267693&amp;pdteaserkey=cr1&amp;pdicsfeatureid=1517127&amp;pditab=allpods&amp;ecomp=1ymdk&amp;earg=cr1&amp;prid=4eb325c4-38fb-453c-8235-1e4ebb1806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stlii.edu.au/cgi-bin/viewdoc/au/cases/cth/ATMO/2017/31.html?context=1;query=%22Andrew%20Sykes%22;mask_path=au/cases/cth/AT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cgi-bin/viewdoc/au/cases/cth/ATMO/2018/194.html?context=1;query=%22Andrew%20Sykes%22;mask_path=au/cases/cth/ATMO" TargetMode="External"/><Relationship Id="rId11" Type="http://schemas.openxmlformats.org/officeDocument/2006/relationships/hyperlink" Target="https://advance.lexis.com/search/?pdmfid=1201008&amp;crid=7bd02d8d-bc19-4848-af21-3aed8163ad5e&amp;pdsearchterms=132+ipr+107&amp;pdicsfeatureid=1517127&amp;pdstartin=hlct%3A1%3A1&amp;pdtypeofsearch=searchboxclick&amp;pdsearchtype=SearchBox&amp;pdqttype=and&amp;pdpsf=his%3A1%3A1&amp;pdquerytemplateid=&amp;ecomp=7g36k&amp;earg=pdpsf&amp;prid=694c5e2c-7d93-4c9d-abf6-54d028ce556e" TargetMode="External"/><Relationship Id="rId5" Type="http://schemas.openxmlformats.org/officeDocument/2006/relationships/hyperlink" Target="http://www.austlii.edu.au/cgi-bin/viewdoc/au/cases/cth/ATMO/2018/196.html?context=1;query=%22Andrew%20Sykes%22;mask_path=au/cases/cth/ATMO" TargetMode="External"/><Relationship Id="rId15" Type="http://schemas.openxmlformats.org/officeDocument/2006/relationships/hyperlink" Target="http://www.austlii.edu.au/cgi-bin/viewdoc/au/cases/cth/ATMO/2017/31.html?context=1;query=%22Andrew%20Sykes%22;mask_path=au/cases/cth/ATMO" TargetMode="External"/><Relationship Id="rId10" Type="http://schemas.openxmlformats.org/officeDocument/2006/relationships/hyperlink" Target="http://www.austlii.edu.au/cgi-bin/viewdoc/au/cases/cth/ATMO/2018/61.html?context=1;query=%22Andrew%20Sykes%22;mask_path=au/cases/cth/A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cases/cth/ATMO/2018/129.html?context=1;query=%22Andrew%20Sykes%22;mask_path=au/cases/cth/ATMO" TargetMode="External"/><Relationship Id="rId14" Type="http://schemas.openxmlformats.org/officeDocument/2006/relationships/hyperlink" Target="http://www.austlii.edu.au/cgi-bin/viewdoc/au/cases/cth/ATMO/2017/47.html?context=1;query=%22Andrew%20Sykes%22;mask_path=au/cases/cth/A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Sykes</dc:creator>
  <cp:keywords/>
  <dc:description/>
  <cp:lastModifiedBy>Andrew Sykes</cp:lastModifiedBy>
  <cp:revision>37</cp:revision>
  <dcterms:created xsi:type="dcterms:W3CDTF">2020-12-02T23:22:00Z</dcterms:created>
  <dcterms:modified xsi:type="dcterms:W3CDTF">2020-12-23T04:08:00Z</dcterms:modified>
</cp:coreProperties>
</file>