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70" w:rsidRPr="00792070" w:rsidRDefault="00792070" w:rsidP="00792070">
      <w:pPr>
        <w:rPr>
          <w:rFonts w:ascii="Arial" w:hAnsi="Arial"/>
          <w:b/>
          <w:sz w:val="22"/>
          <w:szCs w:val="22"/>
          <w:u w:val="single"/>
        </w:rPr>
      </w:pPr>
      <w:r>
        <w:rPr>
          <w:rFonts w:ascii="Arial" w:hAnsi="Arial"/>
          <w:b/>
          <w:sz w:val="22"/>
          <w:szCs w:val="22"/>
          <w:u w:val="single"/>
        </w:rPr>
        <w:t>Case law examples – Dr Philip Bender</w:t>
      </w:r>
    </w:p>
    <w:p w:rsidR="00792070" w:rsidRDefault="00792070" w:rsidP="00792070">
      <w:pPr>
        <w:rPr>
          <w:rFonts w:ascii="Arial" w:hAnsi="Arial"/>
          <w:b/>
          <w:sz w:val="18"/>
          <w:u w:val="single"/>
        </w:rPr>
      </w:pPr>
    </w:p>
    <w:p w:rsidR="00792070" w:rsidRPr="00792070" w:rsidRDefault="00792070" w:rsidP="00792070">
      <w:pPr>
        <w:rPr>
          <w:rFonts w:ascii="Arial" w:hAnsi="Arial"/>
          <w:b/>
          <w:sz w:val="22"/>
          <w:szCs w:val="22"/>
          <w:u w:val="single"/>
        </w:rPr>
      </w:pPr>
      <w:r w:rsidRPr="00792070">
        <w:rPr>
          <w:rFonts w:ascii="Arial" w:hAnsi="Arial"/>
          <w:b/>
          <w:sz w:val="22"/>
          <w:szCs w:val="22"/>
          <w:u w:val="single"/>
        </w:rPr>
        <w:t>Administrative law (including customs) and constitutional law</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Maguire and Commissioner of Taxation </w:t>
      </w:r>
      <w:r w:rsidRPr="00792070">
        <w:rPr>
          <w:rFonts w:ascii="Arial" w:hAnsi="Arial" w:cs="Arial"/>
          <w:sz w:val="22"/>
          <w:szCs w:val="22"/>
        </w:rPr>
        <w:t>(ongoing in 2017, issues concerning the scope of the implied constitutional limitation on Commonwealth laws impinging on the States’ constitutional functions).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McCormack and ASIC </w:t>
      </w:r>
      <w:r w:rsidRPr="00792070">
        <w:rPr>
          <w:rFonts w:ascii="Arial" w:hAnsi="Arial" w:cs="Arial"/>
          <w:sz w:val="22"/>
          <w:szCs w:val="22"/>
        </w:rPr>
        <w:t>[2017] FCA 684 (successful appeal on unreasonableness and other grounds including the duty of decision makers to take submissions into account).</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CPAC Residential Pty Ltd and ASIC </w:t>
      </w:r>
      <w:r w:rsidRPr="00792070">
        <w:rPr>
          <w:rFonts w:ascii="Arial" w:hAnsi="Arial" w:cs="Arial"/>
          <w:sz w:val="22"/>
          <w:szCs w:val="22"/>
        </w:rPr>
        <w:t>[2016] AATA 428 (various issues relating to the AAT’s jurisdiction to hear and determine a matter).</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proofErr w:type="spellStart"/>
      <w:r w:rsidRPr="00792070">
        <w:rPr>
          <w:rFonts w:ascii="Arial" w:hAnsi="Arial" w:cs="Arial"/>
          <w:i/>
          <w:sz w:val="22"/>
          <w:szCs w:val="22"/>
        </w:rPr>
        <w:t>Tadcaster</w:t>
      </w:r>
      <w:proofErr w:type="spellEnd"/>
      <w:r w:rsidRPr="00792070">
        <w:rPr>
          <w:rFonts w:ascii="Arial" w:hAnsi="Arial" w:cs="Arial"/>
          <w:i/>
          <w:sz w:val="22"/>
          <w:szCs w:val="22"/>
        </w:rPr>
        <w:t xml:space="preserve"> Sorrento Pty Ltd v </w:t>
      </w:r>
      <w:proofErr w:type="spellStart"/>
      <w:r w:rsidRPr="00792070">
        <w:rPr>
          <w:rFonts w:ascii="Arial" w:hAnsi="Arial" w:cs="Arial"/>
          <w:i/>
          <w:sz w:val="22"/>
          <w:szCs w:val="22"/>
        </w:rPr>
        <w:t>Cmr</w:t>
      </w:r>
      <w:proofErr w:type="spellEnd"/>
      <w:r w:rsidRPr="00792070">
        <w:rPr>
          <w:rFonts w:ascii="Arial" w:hAnsi="Arial" w:cs="Arial"/>
          <w:i/>
          <w:sz w:val="22"/>
          <w:szCs w:val="22"/>
        </w:rPr>
        <w:t xml:space="preserve"> of State Revenue </w:t>
      </w:r>
      <w:r w:rsidRPr="00792070">
        <w:rPr>
          <w:rFonts w:ascii="Arial" w:hAnsi="Arial" w:cs="Arial"/>
          <w:sz w:val="22"/>
          <w:szCs w:val="22"/>
        </w:rPr>
        <w:t>(2015, settled, Court of Appeal, appeal from</w:t>
      </w:r>
      <w:r w:rsidRPr="00792070">
        <w:rPr>
          <w:rFonts w:ascii="Arial" w:hAnsi="Arial" w:cs="Arial"/>
          <w:i/>
          <w:sz w:val="22"/>
          <w:szCs w:val="22"/>
        </w:rPr>
        <w:t xml:space="preserve"> </w:t>
      </w:r>
      <w:r w:rsidRPr="00792070">
        <w:rPr>
          <w:rFonts w:ascii="Arial" w:hAnsi="Arial" w:cs="Arial"/>
          <w:sz w:val="22"/>
          <w:szCs w:val="22"/>
        </w:rPr>
        <w:t>[2015] VCAT 611 involving the role of legislative policy and purpose in defining the scope of an administrative discretion and errors of law in exercising the discretion based on relevant and irrelevant considerations).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proofErr w:type="spellStart"/>
      <w:r w:rsidRPr="00792070">
        <w:rPr>
          <w:rFonts w:ascii="Arial" w:hAnsi="Arial" w:cs="Arial"/>
          <w:i/>
          <w:sz w:val="22"/>
          <w:szCs w:val="22"/>
        </w:rPr>
        <w:t>Consiglio’s</w:t>
      </w:r>
      <w:proofErr w:type="spellEnd"/>
      <w:r w:rsidRPr="00792070">
        <w:rPr>
          <w:rFonts w:ascii="Arial" w:hAnsi="Arial" w:cs="Arial"/>
          <w:i/>
          <w:sz w:val="22"/>
          <w:szCs w:val="22"/>
        </w:rPr>
        <w:t xml:space="preserve"> </w:t>
      </w:r>
      <w:r w:rsidRPr="00792070">
        <w:rPr>
          <w:rFonts w:ascii="Arial" w:hAnsi="Arial" w:cs="Arial"/>
          <w:sz w:val="22"/>
          <w:szCs w:val="22"/>
        </w:rPr>
        <w:t>case (2014, settled, Federal Court case on review of the exercise of an administrative discretion based on various administrative law grounds).</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proofErr w:type="spellStart"/>
      <w:r w:rsidRPr="00792070">
        <w:rPr>
          <w:rFonts w:ascii="Arial" w:hAnsi="Arial" w:cs="Arial"/>
          <w:i/>
          <w:sz w:val="22"/>
          <w:szCs w:val="22"/>
        </w:rPr>
        <w:t>Eshuys</w:t>
      </w:r>
      <w:proofErr w:type="spellEnd"/>
      <w:r w:rsidRPr="00792070">
        <w:rPr>
          <w:rFonts w:ascii="Arial" w:hAnsi="Arial" w:cs="Arial"/>
          <w:i/>
          <w:sz w:val="22"/>
          <w:szCs w:val="22"/>
        </w:rPr>
        <w:t xml:space="preserve">’ </w:t>
      </w:r>
      <w:r w:rsidRPr="00792070">
        <w:rPr>
          <w:rFonts w:ascii="Arial" w:hAnsi="Arial" w:cs="Arial"/>
          <w:sz w:val="22"/>
          <w:szCs w:val="22"/>
        </w:rPr>
        <w:t>case (2014, settled, Federal Court case on review of the exercise of an administrative discretion based on various administrative law grounds).</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Bell v FCT </w:t>
      </w:r>
      <w:r w:rsidRPr="00792070">
        <w:rPr>
          <w:rFonts w:ascii="Arial" w:hAnsi="Arial" w:cs="Arial"/>
          <w:sz w:val="22"/>
          <w:szCs w:val="22"/>
        </w:rPr>
        <w:t xml:space="preserve">[2013] </w:t>
      </w:r>
      <w:proofErr w:type="spellStart"/>
      <w:r w:rsidRPr="00792070">
        <w:rPr>
          <w:rFonts w:ascii="Arial" w:hAnsi="Arial" w:cs="Arial"/>
          <w:sz w:val="22"/>
          <w:szCs w:val="22"/>
        </w:rPr>
        <w:t>HCATrans</w:t>
      </w:r>
      <w:proofErr w:type="spellEnd"/>
      <w:r w:rsidRPr="00792070">
        <w:rPr>
          <w:rFonts w:ascii="Arial" w:hAnsi="Arial" w:cs="Arial"/>
          <w:sz w:val="22"/>
          <w:szCs w:val="22"/>
        </w:rPr>
        <w:t xml:space="preserve"> 179 (acted as sole counsel in High Court on issue of what constitutes a “question of law” on appeal from an administrative tribunal).</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Bell v FCT </w:t>
      </w:r>
      <w:r w:rsidRPr="00792070">
        <w:rPr>
          <w:rFonts w:ascii="Arial" w:hAnsi="Arial" w:cs="Arial"/>
          <w:sz w:val="22"/>
          <w:szCs w:val="22"/>
        </w:rPr>
        <w:t>[2013] FCAFC 32 (Full Federal Court, various issues relating to the application of principles of unreasonableness and relevant and irrelevant considerations in judicial review of administrative decisions).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VN Railway Pty Ltd &amp; Ors v FCT</w:t>
      </w:r>
      <w:r w:rsidRPr="00792070">
        <w:rPr>
          <w:rFonts w:ascii="Arial" w:hAnsi="Arial" w:cs="Arial"/>
          <w:sz w:val="22"/>
          <w:szCs w:val="22"/>
        </w:rPr>
        <w:t xml:space="preserve"> [2013] FCA 265 (Federal Court, scope of the rule in </w:t>
      </w:r>
      <w:r w:rsidRPr="00792070">
        <w:rPr>
          <w:rFonts w:ascii="Arial" w:hAnsi="Arial" w:cs="Arial"/>
          <w:i/>
          <w:sz w:val="22"/>
          <w:szCs w:val="22"/>
        </w:rPr>
        <w:t xml:space="preserve">Browne v Dunn </w:t>
      </w:r>
      <w:r w:rsidRPr="00792070">
        <w:rPr>
          <w:rFonts w:ascii="Arial" w:hAnsi="Arial" w:cs="Arial"/>
          <w:sz w:val="22"/>
          <w:szCs w:val="22"/>
        </w:rPr>
        <w:t xml:space="preserve">and its implications for procedural fairness in decisions of an administrative tribunal). </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proofErr w:type="spellStart"/>
      <w:r w:rsidRPr="00792070">
        <w:rPr>
          <w:rFonts w:ascii="Arial" w:hAnsi="Arial" w:cs="Arial"/>
          <w:i/>
          <w:sz w:val="22"/>
          <w:szCs w:val="22"/>
        </w:rPr>
        <w:t>Watsford</w:t>
      </w:r>
      <w:proofErr w:type="spellEnd"/>
      <w:r w:rsidRPr="00792070">
        <w:rPr>
          <w:rFonts w:ascii="Arial" w:hAnsi="Arial" w:cs="Arial"/>
          <w:i/>
          <w:sz w:val="22"/>
          <w:szCs w:val="22"/>
        </w:rPr>
        <w:t xml:space="preserve"> v FCT </w:t>
      </w:r>
      <w:r w:rsidRPr="00792070">
        <w:rPr>
          <w:rFonts w:ascii="Arial" w:hAnsi="Arial" w:cs="Arial"/>
          <w:sz w:val="22"/>
          <w:szCs w:val="22"/>
        </w:rPr>
        <w:t>[2013] FCA 1389 (irrationality in decisions of administrative tribunals and issue of what constitutes a question of law on appeal from a tribunal).</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Australian Customs Service v </w:t>
      </w:r>
      <w:proofErr w:type="spellStart"/>
      <w:r w:rsidRPr="00792070">
        <w:rPr>
          <w:rFonts w:ascii="Arial" w:hAnsi="Arial" w:cs="Arial"/>
          <w:i/>
          <w:sz w:val="22"/>
          <w:szCs w:val="22"/>
        </w:rPr>
        <w:t>Tzelepis</w:t>
      </w:r>
      <w:proofErr w:type="spellEnd"/>
      <w:r w:rsidRPr="00792070">
        <w:rPr>
          <w:rFonts w:ascii="Arial" w:hAnsi="Arial" w:cs="Arial"/>
          <w:i/>
          <w:sz w:val="22"/>
          <w:szCs w:val="22"/>
        </w:rPr>
        <w:t xml:space="preserve"> </w:t>
      </w:r>
      <w:r w:rsidRPr="00792070">
        <w:rPr>
          <w:rFonts w:ascii="Arial" w:hAnsi="Arial" w:cs="Arial"/>
          <w:sz w:val="22"/>
          <w:szCs w:val="22"/>
        </w:rPr>
        <w:t>(Magistrates’ Court, customs matter).</w:t>
      </w:r>
    </w:p>
    <w:p w:rsidR="00792070" w:rsidRPr="00792070" w:rsidRDefault="00792070" w:rsidP="00792070">
      <w:pPr>
        <w:rPr>
          <w:rFonts w:ascii="Arial" w:hAnsi="Arial"/>
          <w:b/>
          <w:sz w:val="22"/>
          <w:szCs w:val="22"/>
          <w:u w:val="single"/>
        </w:rPr>
      </w:pPr>
    </w:p>
    <w:p w:rsidR="00792070" w:rsidRPr="00792070" w:rsidRDefault="00792070" w:rsidP="00792070">
      <w:pPr>
        <w:rPr>
          <w:rFonts w:ascii="Arial" w:hAnsi="Arial"/>
          <w:b/>
          <w:sz w:val="22"/>
          <w:szCs w:val="22"/>
          <w:u w:val="single"/>
        </w:rPr>
      </w:pPr>
      <w:r w:rsidRPr="00792070">
        <w:rPr>
          <w:rFonts w:ascii="Arial" w:hAnsi="Arial"/>
          <w:b/>
          <w:sz w:val="22"/>
          <w:szCs w:val="22"/>
          <w:u w:val="single"/>
        </w:rPr>
        <w:t>Bankruptcy and insolvency / family law</w:t>
      </w:r>
    </w:p>
    <w:p w:rsidR="00792070" w:rsidRPr="00792070" w:rsidRDefault="00792070" w:rsidP="00792070">
      <w:pPr>
        <w:rPr>
          <w:rFonts w:ascii="Arial" w:hAnsi="Arial"/>
          <w:b/>
          <w:sz w:val="22"/>
          <w:szCs w:val="22"/>
          <w:u w:val="single"/>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Scott v McKenzie </w:t>
      </w:r>
      <w:r w:rsidRPr="00792070">
        <w:rPr>
          <w:rFonts w:ascii="Arial" w:hAnsi="Arial" w:cs="Arial"/>
          <w:sz w:val="22"/>
          <w:szCs w:val="22"/>
        </w:rPr>
        <w:t>(2017, settled, Federal Circuit Court, case dealing with the interaction of Family Law and bankruptcy).</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rPr>
          <w:rFonts w:ascii="Arial" w:hAnsi="Arial"/>
          <w:b/>
          <w:sz w:val="22"/>
          <w:szCs w:val="22"/>
          <w:u w:val="single"/>
        </w:rPr>
      </w:pPr>
      <w:r w:rsidRPr="00792070">
        <w:rPr>
          <w:rFonts w:ascii="Arial" w:hAnsi="Arial"/>
          <w:sz w:val="22"/>
          <w:szCs w:val="22"/>
        </w:rPr>
        <w:t>Advice to liquidator on priority claims in respect of insurance premium refunds (2016).</w:t>
      </w:r>
    </w:p>
    <w:p w:rsidR="00792070" w:rsidRPr="00792070" w:rsidRDefault="00792070" w:rsidP="00792070">
      <w:pPr>
        <w:pStyle w:val="ListParagraph"/>
        <w:rPr>
          <w:rFonts w:ascii="Arial" w:hAnsi="Arial"/>
          <w:b/>
          <w:sz w:val="22"/>
          <w:szCs w:val="22"/>
          <w:u w:val="single"/>
        </w:rPr>
      </w:pPr>
    </w:p>
    <w:p w:rsidR="00792070" w:rsidRPr="00792070" w:rsidRDefault="00792070" w:rsidP="00792070">
      <w:pPr>
        <w:pStyle w:val="ListParagraph"/>
        <w:numPr>
          <w:ilvl w:val="0"/>
          <w:numId w:val="1"/>
        </w:numPr>
        <w:rPr>
          <w:rFonts w:ascii="Arial" w:hAnsi="Arial"/>
          <w:b/>
          <w:sz w:val="22"/>
          <w:szCs w:val="22"/>
          <w:u w:val="single"/>
        </w:rPr>
      </w:pPr>
      <w:r w:rsidRPr="00792070">
        <w:rPr>
          <w:rFonts w:ascii="Arial" w:hAnsi="Arial"/>
          <w:i/>
          <w:sz w:val="22"/>
          <w:szCs w:val="22"/>
        </w:rPr>
        <w:lastRenderedPageBreak/>
        <w:t xml:space="preserve">In the matter of George Alex (a bankrupt): </w:t>
      </w:r>
      <w:proofErr w:type="spellStart"/>
      <w:r w:rsidRPr="00792070">
        <w:rPr>
          <w:rFonts w:ascii="Arial" w:hAnsi="Arial"/>
          <w:i/>
          <w:sz w:val="22"/>
          <w:szCs w:val="22"/>
        </w:rPr>
        <w:t>Rambaldi</w:t>
      </w:r>
      <w:proofErr w:type="spellEnd"/>
      <w:r w:rsidRPr="00792070">
        <w:rPr>
          <w:rFonts w:ascii="Arial" w:hAnsi="Arial"/>
          <w:i/>
          <w:sz w:val="22"/>
          <w:szCs w:val="22"/>
        </w:rPr>
        <w:t xml:space="preserve"> and </w:t>
      </w:r>
      <w:proofErr w:type="spellStart"/>
      <w:r w:rsidRPr="00792070">
        <w:rPr>
          <w:rFonts w:ascii="Arial" w:hAnsi="Arial"/>
          <w:i/>
          <w:sz w:val="22"/>
          <w:szCs w:val="22"/>
        </w:rPr>
        <w:t>Yeo</w:t>
      </w:r>
      <w:proofErr w:type="spellEnd"/>
      <w:r w:rsidRPr="00792070">
        <w:rPr>
          <w:rFonts w:ascii="Arial" w:hAnsi="Arial"/>
          <w:i/>
          <w:sz w:val="22"/>
          <w:szCs w:val="22"/>
        </w:rPr>
        <w:t xml:space="preserve"> (joint trustees of Alex, a bankrupt) v </w:t>
      </w:r>
      <w:proofErr w:type="spellStart"/>
      <w:r w:rsidRPr="00792070">
        <w:rPr>
          <w:rFonts w:ascii="Arial" w:hAnsi="Arial"/>
          <w:i/>
          <w:sz w:val="22"/>
          <w:szCs w:val="22"/>
        </w:rPr>
        <w:t>Fieg</w:t>
      </w:r>
      <w:proofErr w:type="spellEnd"/>
      <w:r w:rsidRPr="00792070">
        <w:rPr>
          <w:rFonts w:ascii="Arial" w:hAnsi="Arial"/>
          <w:i/>
          <w:sz w:val="22"/>
          <w:szCs w:val="22"/>
        </w:rPr>
        <w:t xml:space="preserve"> and Ors </w:t>
      </w:r>
      <w:r w:rsidRPr="00792070">
        <w:rPr>
          <w:rFonts w:ascii="Arial" w:hAnsi="Arial"/>
          <w:sz w:val="22"/>
          <w:szCs w:val="22"/>
        </w:rPr>
        <w:t>(2016, Federal Court, settled, acted for a trustee in bankruptcy in this matter involving a claim on a property).</w:t>
      </w:r>
    </w:p>
    <w:p w:rsidR="00792070" w:rsidRPr="00792070" w:rsidRDefault="00792070" w:rsidP="00792070">
      <w:pPr>
        <w:pStyle w:val="ListParagraph"/>
        <w:rPr>
          <w:rFonts w:ascii="Arial" w:hAnsi="Arial"/>
          <w:b/>
          <w:sz w:val="22"/>
          <w:szCs w:val="22"/>
          <w:u w:val="single"/>
        </w:rPr>
      </w:pPr>
    </w:p>
    <w:p w:rsidR="00792070" w:rsidRPr="00792070" w:rsidRDefault="00792070" w:rsidP="00792070">
      <w:pPr>
        <w:pStyle w:val="ListParagraph"/>
        <w:numPr>
          <w:ilvl w:val="0"/>
          <w:numId w:val="1"/>
        </w:numPr>
        <w:rPr>
          <w:rFonts w:ascii="Arial" w:hAnsi="Arial"/>
          <w:b/>
          <w:sz w:val="22"/>
          <w:szCs w:val="22"/>
          <w:u w:val="single"/>
        </w:rPr>
      </w:pPr>
      <w:r w:rsidRPr="00792070">
        <w:rPr>
          <w:rFonts w:ascii="Arial" w:hAnsi="Arial"/>
          <w:i/>
          <w:sz w:val="22"/>
          <w:szCs w:val="22"/>
        </w:rPr>
        <w:t xml:space="preserve">EJ Cutting Pty Ltd (in </w:t>
      </w:r>
      <w:proofErr w:type="spellStart"/>
      <w:r w:rsidRPr="00792070">
        <w:rPr>
          <w:rFonts w:ascii="Arial" w:hAnsi="Arial"/>
          <w:i/>
          <w:sz w:val="22"/>
          <w:szCs w:val="22"/>
        </w:rPr>
        <w:t>liq</w:t>
      </w:r>
      <w:proofErr w:type="spellEnd"/>
      <w:r w:rsidRPr="00792070">
        <w:rPr>
          <w:rFonts w:ascii="Arial" w:hAnsi="Arial"/>
          <w:i/>
          <w:sz w:val="22"/>
          <w:szCs w:val="22"/>
        </w:rPr>
        <w:t xml:space="preserve">) and </w:t>
      </w:r>
      <w:proofErr w:type="spellStart"/>
      <w:r w:rsidRPr="00792070">
        <w:rPr>
          <w:rFonts w:ascii="Arial" w:hAnsi="Arial"/>
          <w:i/>
          <w:sz w:val="22"/>
          <w:szCs w:val="22"/>
        </w:rPr>
        <w:t>Anor</w:t>
      </w:r>
      <w:proofErr w:type="spellEnd"/>
      <w:r w:rsidRPr="00792070">
        <w:rPr>
          <w:rFonts w:ascii="Arial" w:hAnsi="Arial"/>
          <w:i/>
          <w:sz w:val="22"/>
          <w:szCs w:val="22"/>
        </w:rPr>
        <w:t xml:space="preserve"> v </w:t>
      </w:r>
      <w:proofErr w:type="spellStart"/>
      <w:r w:rsidRPr="00792070">
        <w:rPr>
          <w:rFonts w:ascii="Arial" w:hAnsi="Arial"/>
          <w:i/>
          <w:sz w:val="22"/>
          <w:szCs w:val="22"/>
        </w:rPr>
        <w:t>Sandvik</w:t>
      </w:r>
      <w:proofErr w:type="spellEnd"/>
      <w:r w:rsidRPr="00792070">
        <w:rPr>
          <w:rFonts w:ascii="Arial" w:hAnsi="Arial"/>
          <w:i/>
          <w:sz w:val="22"/>
          <w:szCs w:val="22"/>
        </w:rPr>
        <w:t xml:space="preserve"> Australia Pty Ltd </w:t>
      </w:r>
      <w:r w:rsidRPr="00792070">
        <w:rPr>
          <w:rFonts w:ascii="Arial" w:hAnsi="Arial"/>
          <w:sz w:val="22"/>
          <w:szCs w:val="22"/>
        </w:rPr>
        <w:t>(2016, settled, unfair preference claim).</w:t>
      </w:r>
    </w:p>
    <w:p w:rsidR="00792070" w:rsidRPr="00792070" w:rsidRDefault="00792070" w:rsidP="00792070">
      <w:pPr>
        <w:pStyle w:val="ListParagraph"/>
        <w:rPr>
          <w:rFonts w:ascii="Arial" w:hAnsi="Arial"/>
          <w:b/>
          <w:sz w:val="22"/>
          <w:szCs w:val="22"/>
          <w:u w:val="single"/>
        </w:rPr>
      </w:pPr>
    </w:p>
    <w:p w:rsidR="00792070" w:rsidRPr="00792070" w:rsidRDefault="00792070" w:rsidP="00792070">
      <w:pPr>
        <w:pStyle w:val="ListParagraph"/>
        <w:numPr>
          <w:ilvl w:val="0"/>
          <w:numId w:val="1"/>
        </w:numPr>
        <w:rPr>
          <w:rFonts w:ascii="Arial" w:hAnsi="Arial"/>
          <w:i/>
          <w:sz w:val="22"/>
          <w:szCs w:val="22"/>
        </w:rPr>
      </w:pPr>
      <w:proofErr w:type="spellStart"/>
      <w:r w:rsidRPr="00792070">
        <w:rPr>
          <w:rFonts w:ascii="Arial" w:hAnsi="Arial"/>
          <w:i/>
          <w:sz w:val="22"/>
          <w:szCs w:val="22"/>
        </w:rPr>
        <w:t>Fode</w:t>
      </w:r>
      <w:proofErr w:type="spellEnd"/>
      <w:r w:rsidRPr="00792070">
        <w:rPr>
          <w:rFonts w:ascii="Arial" w:hAnsi="Arial"/>
          <w:i/>
          <w:sz w:val="22"/>
          <w:szCs w:val="22"/>
        </w:rPr>
        <w:t xml:space="preserve"> v Horne </w:t>
      </w:r>
      <w:r w:rsidRPr="00792070">
        <w:rPr>
          <w:rFonts w:ascii="Arial" w:hAnsi="Arial"/>
          <w:sz w:val="22"/>
          <w:szCs w:val="22"/>
        </w:rPr>
        <w:t>[2015] FCCA 70 (judicial review of trustee in bankruptcy’s proof of debt decisions).</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i/>
          <w:sz w:val="22"/>
          <w:szCs w:val="22"/>
        </w:rPr>
      </w:pPr>
      <w:r w:rsidRPr="00792070">
        <w:rPr>
          <w:rFonts w:ascii="Arial" w:hAnsi="Arial"/>
          <w:i/>
          <w:sz w:val="22"/>
          <w:szCs w:val="22"/>
        </w:rPr>
        <w:t xml:space="preserve">Di </w:t>
      </w:r>
      <w:proofErr w:type="spellStart"/>
      <w:r w:rsidRPr="00792070">
        <w:rPr>
          <w:rFonts w:ascii="Arial" w:hAnsi="Arial"/>
          <w:i/>
          <w:sz w:val="22"/>
          <w:szCs w:val="22"/>
        </w:rPr>
        <w:t>Coccio</w:t>
      </w:r>
      <w:proofErr w:type="spellEnd"/>
      <w:r w:rsidRPr="00792070">
        <w:rPr>
          <w:rFonts w:ascii="Arial" w:hAnsi="Arial"/>
          <w:i/>
          <w:sz w:val="22"/>
          <w:szCs w:val="22"/>
        </w:rPr>
        <w:t xml:space="preserve"> v Official Trustee in Bankruptcy </w:t>
      </w:r>
      <w:r w:rsidRPr="00792070">
        <w:rPr>
          <w:rFonts w:ascii="Arial" w:hAnsi="Arial"/>
          <w:sz w:val="22"/>
          <w:szCs w:val="22"/>
        </w:rPr>
        <w:t>[2014] FCA 782</w:t>
      </w:r>
      <w:r w:rsidRPr="00792070">
        <w:rPr>
          <w:rFonts w:ascii="Arial" w:hAnsi="Arial"/>
          <w:i/>
          <w:sz w:val="22"/>
          <w:szCs w:val="22"/>
        </w:rPr>
        <w:t xml:space="preserve"> </w:t>
      </w:r>
      <w:r w:rsidRPr="00792070">
        <w:rPr>
          <w:rFonts w:ascii="Arial" w:hAnsi="Arial"/>
          <w:sz w:val="22"/>
          <w:szCs w:val="22"/>
        </w:rPr>
        <w:t>(acted for Official Trustee in matter involving the question of whether property acquired using after-acquired income is property that vests in a trustee in bankruptcy).</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i/>
          <w:sz w:val="22"/>
          <w:szCs w:val="22"/>
        </w:rPr>
      </w:pPr>
      <w:r w:rsidRPr="00792070">
        <w:rPr>
          <w:rFonts w:ascii="Arial" w:hAnsi="Arial"/>
          <w:i/>
          <w:sz w:val="22"/>
          <w:szCs w:val="22"/>
        </w:rPr>
        <w:t xml:space="preserve">Re </w:t>
      </w:r>
      <w:proofErr w:type="spellStart"/>
      <w:r w:rsidRPr="00792070">
        <w:rPr>
          <w:rFonts w:ascii="Arial" w:hAnsi="Arial"/>
          <w:i/>
          <w:sz w:val="22"/>
          <w:szCs w:val="22"/>
        </w:rPr>
        <w:t>Todisco</w:t>
      </w:r>
      <w:proofErr w:type="spellEnd"/>
      <w:r w:rsidRPr="00792070">
        <w:rPr>
          <w:rFonts w:ascii="Arial" w:hAnsi="Arial"/>
          <w:i/>
          <w:sz w:val="22"/>
          <w:szCs w:val="22"/>
        </w:rPr>
        <w:t xml:space="preserve"> </w:t>
      </w:r>
      <w:r w:rsidRPr="00792070">
        <w:rPr>
          <w:rFonts w:ascii="Arial" w:hAnsi="Arial"/>
          <w:sz w:val="22"/>
          <w:szCs w:val="22"/>
        </w:rPr>
        <w:t>(a bankrupt) (Federal Circuit Court, settled – judicial review of trustee in bankruptcy’s decision).</w:t>
      </w:r>
      <w:r w:rsidRPr="00792070">
        <w:rPr>
          <w:rFonts w:ascii="Arial" w:hAnsi="Arial"/>
          <w:i/>
          <w:sz w:val="22"/>
          <w:szCs w:val="22"/>
        </w:rPr>
        <w:t xml:space="preserve"> </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sz w:val="22"/>
          <w:szCs w:val="22"/>
        </w:rPr>
      </w:pPr>
      <w:r w:rsidRPr="00792070">
        <w:rPr>
          <w:rFonts w:ascii="Arial" w:hAnsi="Arial"/>
          <w:i/>
          <w:sz w:val="22"/>
          <w:szCs w:val="22"/>
        </w:rPr>
        <w:t>DCT v National Skin Institute (</w:t>
      </w:r>
      <w:proofErr w:type="spellStart"/>
      <w:r w:rsidRPr="00792070">
        <w:rPr>
          <w:rFonts w:ascii="Arial" w:hAnsi="Arial"/>
          <w:i/>
          <w:sz w:val="22"/>
          <w:szCs w:val="22"/>
        </w:rPr>
        <w:t>Aust</w:t>
      </w:r>
      <w:proofErr w:type="spellEnd"/>
      <w:r w:rsidRPr="00792070">
        <w:rPr>
          <w:rFonts w:ascii="Arial" w:hAnsi="Arial"/>
          <w:i/>
          <w:sz w:val="22"/>
          <w:szCs w:val="22"/>
        </w:rPr>
        <w:t xml:space="preserve">) Pty Ltd </w:t>
      </w:r>
      <w:r w:rsidRPr="00792070">
        <w:rPr>
          <w:rFonts w:ascii="Arial" w:hAnsi="Arial"/>
          <w:sz w:val="22"/>
          <w:szCs w:val="22"/>
        </w:rPr>
        <w:t>[2012] FCAFC 2 (Full Federal Court – insolvency and statutory demand matter).</w:t>
      </w:r>
    </w:p>
    <w:p w:rsidR="00792070" w:rsidRPr="00792070" w:rsidRDefault="00792070" w:rsidP="00792070">
      <w:pPr>
        <w:pStyle w:val="ListParagraph"/>
        <w:rPr>
          <w:rFonts w:ascii="Arial" w:hAnsi="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sz w:val="22"/>
          <w:szCs w:val="22"/>
        </w:rPr>
        <w:t>Various appearances and advice on matters involving obtaining or defending bankruptcy orders, statutory demands (</w:t>
      </w:r>
      <w:proofErr w:type="spellStart"/>
      <w:r w:rsidRPr="00792070">
        <w:rPr>
          <w:rFonts w:ascii="Arial" w:hAnsi="Arial" w:cs="Arial"/>
          <w:sz w:val="22"/>
          <w:szCs w:val="22"/>
        </w:rPr>
        <w:t>eg</w:t>
      </w:r>
      <w:proofErr w:type="spellEnd"/>
      <w:r w:rsidRPr="00792070">
        <w:rPr>
          <w:rFonts w:ascii="Arial" w:hAnsi="Arial" w:cs="Arial"/>
          <w:sz w:val="22"/>
          <w:szCs w:val="22"/>
        </w:rPr>
        <w:t xml:space="preserve"> setting aside statutory demands), winding up companies (including setting aside winding up orders) and on “claw-back” of funds (</w:t>
      </w:r>
      <w:proofErr w:type="spellStart"/>
      <w:r w:rsidRPr="00792070">
        <w:rPr>
          <w:rFonts w:ascii="Arial" w:hAnsi="Arial" w:cs="Arial"/>
          <w:sz w:val="22"/>
          <w:szCs w:val="22"/>
        </w:rPr>
        <w:t>eg</w:t>
      </w:r>
      <w:proofErr w:type="spellEnd"/>
      <w:r w:rsidRPr="00792070">
        <w:rPr>
          <w:rFonts w:ascii="Arial" w:hAnsi="Arial" w:cs="Arial"/>
          <w:sz w:val="22"/>
          <w:szCs w:val="22"/>
        </w:rPr>
        <w:t xml:space="preserve"> preference claims) in bankruptcy/insolvency situations.</w:t>
      </w:r>
    </w:p>
    <w:p w:rsidR="00792070" w:rsidRPr="00792070" w:rsidRDefault="00792070" w:rsidP="00792070">
      <w:pPr>
        <w:rPr>
          <w:rFonts w:ascii="Arial" w:hAnsi="Arial"/>
          <w:b/>
          <w:sz w:val="22"/>
          <w:szCs w:val="22"/>
          <w:u w:val="single"/>
        </w:rPr>
      </w:pPr>
      <w:r w:rsidRPr="00792070">
        <w:rPr>
          <w:rFonts w:ascii="Arial" w:hAnsi="Arial"/>
          <w:b/>
          <w:sz w:val="22"/>
          <w:szCs w:val="22"/>
          <w:u w:val="single"/>
        </w:rPr>
        <w:t xml:space="preserve">Banking and finance </w:t>
      </w:r>
    </w:p>
    <w:p w:rsidR="00792070" w:rsidRPr="00792070" w:rsidRDefault="00792070" w:rsidP="00792070">
      <w:pPr>
        <w:rPr>
          <w:rFonts w:ascii="Arial" w:hAnsi="Arial"/>
          <w:b/>
          <w:sz w:val="22"/>
          <w:szCs w:val="22"/>
          <w:u w:val="single"/>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i/>
          <w:sz w:val="22"/>
          <w:szCs w:val="22"/>
        </w:rPr>
        <w:t xml:space="preserve">House of Lords Property Pty Ltd v National Australia Bank Ltd </w:t>
      </w:r>
      <w:r w:rsidRPr="00792070">
        <w:rPr>
          <w:rFonts w:ascii="Arial" w:hAnsi="Arial" w:cs="Arial"/>
          <w:sz w:val="22"/>
          <w:szCs w:val="22"/>
        </w:rPr>
        <w:t>(2016, settled, banking dispute).</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proofErr w:type="spellStart"/>
      <w:r w:rsidRPr="00792070">
        <w:rPr>
          <w:rFonts w:ascii="Arial" w:hAnsi="Arial" w:cs="Arial"/>
          <w:i/>
          <w:sz w:val="22"/>
          <w:szCs w:val="22"/>
        </w:rPr>
        <w:t>Alsafe</w:t>
      </w:r>
      <w:proofErr w:type="spellEnd"/>
      <w:r w:rsidRPr="00792070">
        <w:rPr>
          <w:rFonts w:ascii="Arial" w:hAnsi="Arial" w:cs="Arial"/>
          <w:i/>
          <w:sz w:val="22"/>
          <w:szCs w:val="22"/>
        </w:rPr>
        <w:t xml:space="preserve"> Pre-Mix Concrete Pty Ltd v De Fazio </w:t>
      </w:r>
      <w:r w:rsidRPr="00792070">
        <w:rPr>
          <w:rFonts w:ascii="Arial" w:hAnsi="Arial" w:cs="Arial"/>
          <w:sz w:val="22"/>
          <w:szCs w:val="22"/>
        </w:rPr>
        <w:t>(2016, settled, enforcement of a charge).</w:t>
      </w:r>
    </w:p>
    <w:p w:rsidR="00792070" w:rsidRPr="00792070" w:rsidRDefault="00792070" w:rsidP="00792070">
      <w:pPr>
        <w:rPr>
          <w:rFonts w:ascii="Arial" w:hAnsi="Arial"/>
          <w:b/>
          <w:sz w:val="22"/>
          <w:szCs w:val="22"/>
          <w:u w:val="single"/>
        </w:rPr>
      </w:pPr>
      <w:r w:rsidRPr="00792070">
        <w:rPr>
          <w:rFonts w:ascii="Arial" w:hAnsi="Arial"/>
          <w:b/>
          <w:sz w:val="22"/>
          <w:szCs w:val="22"/>
          <w:u w:val="single"/>
        </w:rPr>
        <w:t xml:space="preserve">Building and property law </w:t>
      </w:r>
    </w:p>
    <w:p w:rsidR="00792070" w:rsidRPr="00792070" w:rsidRDefault="00792070" w:rsidP="00792070">
      <w:pPr>
        <w:rPr>
          <w:rFonts w:ascii="Arial" w:hAnsi="Arial"/>
          <w:b/>
          <w:sz w:val="22"/>
          <w:szCs w:val="22"/>
          <w:u w:val="single"/>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Australasian Piling Company v </w:t>
      </w:r>
      <w:proofErr w:type="spellStart"/>
      <w:r w:rsidRPr="00792070">
        <w:rPr>
          <w:rFonts w:ascii="Arial" w:hAnsi="Arial" w:cs="Arial"/>
          <w:i/>
          <w:sz w:val="22"/>
          <w:szCs w:val="22"/>
        </w:rPr>
        <w:t>Maxcon</w:t>
      </w:r>
      <w:proofErr w:type="spellEnd"/>
      <w:r w:rsidRPr="00792070">
        <w:rPr>
          <w:rFonts w:ascii="Arial" w:hAnsi="Arial" w:cs="Arial"/>
          <w:i/>
          <w:sz w:val="22"/>
          <w:szCs w:val="22"/>
        </w:rPr>
        <w:t xml:space="preserve"> Constructions Pty Ltd</w:t>
      </w:r>
      <w:r w:rsidRPr="00792070">
        <w:rPr>
          <w:rFonts w:ascii="Arial" w:hAnsi="Arial" w:cs="Arial"/>
          <w:sz w:val="22"/>
          <w:szCs w:val="22"/>
        </w:rPr>
        <w:t xml:space="preserve"> (2016, settled, acted in building and construction industry adjudication and subsequent judicial review appeal to the South Australian Supreme Court from the adjudicator’s decision).</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proofErr w:type="spellStart"/>
      <w:r w:rsidRPr="00792070">
        <w:rPr>
          <w:rFonts w:ascii="Arial" w:hAnsi="Arial" w:cs="Arial"/>
          <w:i/>
          <w:sz w:val="22"/>
          <w:szCs w:val="22"/>
        </w:rPr>
        <w:t>Citipower</w:t>
      </w:r>
      <w:proofErr w:type="spellEnd"/>
      <w:r w:rsidRPr="00792070">
        <w:rPr>
          <w:rFonts w:ascii="Arial" w:hAnsi="Arial" w:cs="Arial"/>
          <w:i/>
          <w:sz w:val="22"/>
          <w:szCs w:val="22"/>
        </w:rPr>
        <w:t xml:space="preserve"> Pty Ltd v </w:t>
      </w:r>
      <w:proofErr w:type="spellStart"/>
      <w:r w:rsidRPr="00792070">
        <w:rPr>
          <w:rFonts w:ascii="Arial" w:hAnsi="Arial" w:cs="Arial"/>
          <w:i/>
          <w:sz w:val="22"/>
          <w:szCs w:val="22"/>
        </w:rPr>
        <w:t>Rypceen</w:t>
      </w:r>
      <w:proofErr w:type="spellEnd"/>
      <w:r w:rsidRPr="00792070">
        <w:rPr>
          <w:rFonts w:ascii="Arial" w:hAnsi="Arial" w:cs="Arial"/>
          <w:i/>
          <w:sz w:val="22"/>
          <w:szCs w:val="22"/>
        </w:rPr>
        <w:t xml:space="preserve"> Pty Ltd </w:t>
      </w:r>
      <w:r w:rsidRPr="00792070">
        <w:rPr>
          <w:rFonts w:ascii="Arial" w:hAnsi="Arial" w:cs="Arial"/>
          <w:sz w:val="22"/>
          <w:szCs w:val="22"/>
        </w:rPr>
        <w:t>(2015, Supreme Court, settled, adverse possession claim).</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sz w:val="22"/>
          <w:szCs w:val="22"/>
        </w:rPr>
        <w:t xml:space="preserve">Several disputes involving caveats and mortgages/charges over real property and contracts for the purchase of real property.  </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sz w:val="22"/>
          <w:szCs w:val="22"/>
        </w:rPr>
        <w:t xml:space="preserve">Several disputes involving claims of </w:t>
      </w:r>
      <w:proofErr w:type="spellStart"/>
      <w:r w:rsidRPr="00792070">
        <w:rPr>
          <w:rFonts w:ascii="Arial" w:hAnsi="Arial" w:cs="Arial"/>
          <w:sz w:val="22"/>
          <w:szCs w:val="22"/>
        </w:rPr>
        <w:t>unconscionability</w:t>
      </w:r>
      <w:proofErr w:type="spellEnd"/>
      <w:r w:rsidRPr="00792070">
        <w:rPr>
          <w:rFonts w:ascii="Arial" w:hAnsi="Arial" w:cs="Arial"/>
          <w:sz w:val="22"/>
          <w:szCs w:val="22"/>
        </w:rPr>
        <w:t xml:space="preserve">, constructive trusts, and </w:t>
      </w:r>
      <w:proofErr w:type="spellStart"/>
      <w:r w:rsidRPr="00792070">
        <w:rPr>
          <w:rFonts w:ascii="Arial" w:hAnsi="Arial" w:cs="Arial"/>
          <w:sz w:val="22"/>
          <w:szCs w:val="22"/>
        </w:rPr>
        <w:t>estoppel</w:t>
      </w:r>
      <w:proofErr w:type="spellEnd"/>
      <w:r w:rsidRPr="00792070">
        <w:rPr>
          <w:rFonts w:ascii="Arial" w:hAnsi="Arial" w:cs="Arial"/>
          <w:sz w:val="22"/>
          <w:szCs w:val="22"/>
        </w:rPr>
        <w:t>/part performance relating to real property (</w:t>
      </w:r>
      <w:proofErr w:type="spellStart"/>
      <w:r w:rsidRPr="00792070">
        <w:rPr>
          <w:rFonts w:ascii="Arial" w:hAnsi="Arial" w:cs="Arial"/>
          <w:sz w:val="22"/>
          <w:szCs w:val="22"/>
        </w:rPr>
        <w:t>eg</w:t>
      </w:r>
      <w:proofErr w:type="spellEnd"/>
      <w:r w:rsidRPr="00792070">
        <w:rPr>
          <w:rFonts w:ascii="Arial" w:hAnsi="Arial" w:cs="Arial"/>
          <w:sz w:val="22"/>
          <w:szCs w:val="22"/>
        </w:rPr>
        <w:t xml:space="preserve"> a settled Supreme Court dispute relating to the sale of a property by a trustee to an unincorporated gun club in unconscionable circumstances).  </w:t>
      </w:r>
    </w:p>
    <w:p w:rsidR="00792070" w:rsidRPr="00792070" w:rsidRDefault="00792070" w:rsidP="00792070">
      <w:pPr>
        <w:rPr>
          <w:rFonts w:ascii="Arial" w:hAnsi="Arial"/>
          <w:b/>
          <w:sz w:val="22"/>
          <w:szCs w:val="22"/>
          <w:u w:val="single"/>
        </w:rPr>
      </w:pPr>
      <w:proofErr w:type="gramStart"/>
      <w:r w:rsidRPr="00792070">
        <w:rPr>
          <w:rFonts w:ascii="Arial" w:hAnsi="Arial"/>
          <w:b/>
          <w:sz w:val="22"/>
          <w:szCs w:val="22"/>
          <w:u w:val="single"/>
        </w:rPr>
        <w:t>Corporations</w:t>
      </w:r>
      <w:proofErr w:type="gramEnd"/>
      <w:r w:rsidRPr="00792070">
        <w:rPr>
          <w:rFonts w:ascii="Arial" w:hAnsi="Arial"/>
          <w:b/>
          <w:sz w:val="22"/>
          <w:szCs w:val="22"/>
          <w:u w:val="single"/>
        </w:rPr>
        <w:t xml:space="preserve"> law and financial services law</w:t>
      </w:r>
    </w:p>
    <w:p w:rsidR="00792070" w:rsidRPr="00792070" w:rsidRDefault="00792070" w:rsidP="00792070">
      <w:pPr>
        <w:rPr>
          <w:rFonts w:ascii="Arial" w:hAnsi="Arial"/>
          <w:b/>
          <w:sz w:val="22"/>
          <w:szCs w:val="22"/>
          <w:u w:val="single"/>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i/>
          <w:sz w:val="22"/>
          <w:szCs w:val="22"/>
        </w:rPr>
        <w:t xml:space="preserve">Cheung and ASIC </w:t>
      </w:r>
      <w:r w:rsidRPr="00792070">
        <w:rPr>
          <w:rFonts w:ascii="Arial" w:hAnsi="Arial" w:cs="Arial"/>
          <w:sz w:val="22"/>
          <w:szCs w:val="22"/>
        </w:rPr>
        <w:t>(2016, unreported, acted in financial services banning matter).</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i/>
          <w:sz w:val="22"/>
          <w:szCs w:val="22"/>
        </w:rPr>
        <w:t xml:space="preserve">Bolton and ASIC </w:t>
      </w:r>
      <w:r w:rsidRPr="00792070">
        <w:rPr>
          <w:rFonts w:ascii="Arial" w:hAnsi="Arial" w:cs="Arial"/>
          <w:sz w:val="22"/>
          <w:szCs w:val="22"/>
        </w:rPr>
        <w:t>[2015] AATA 977 (director banning case).</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i/>
          <w:sz w:val="22"/>
          <w:szCs w:val="22"/>
        </w:rPr>
        <w:t xml:space="preserve">Jeffers and ASIC </w:t>
      </w:r>
      <w:r w:rsidRPr="00792070">
        <w:rPr>
          <w:rFonts w:ascii="Arial" w:hAnsi="Arial" w:cs="Arial"/>
          <w:sz w:val="22"/>
          <w:szCs w:val="22"/>
        </w:rPr>
        <w:t>[2015] AATA 537 (financial services banning case).</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rPr>
          <w:rFonts w:ascii="Arial" w:hAnsi="Arial"/>
          <w:i/>
          <w:sz w:val="22"/>
          <w:szCs w:val="22"/>
        </w:rPr>
      </w:pPr>
      <w:r w:rsidRPr="00792070">
        <w:rPr>
          <w:rFonts w:ascii="Arial" w:hAnsi="Arial"/>
          <w:i/>
          <w:sz w:val="22"/>
          <w:szCs w:val="22"/>
        </w:rPr>
        <w:t xml:space="preserve">Howard v Commissioner of Taxation </w:t>
      </w:r>
      <w:r w:rsidRPr="00792070">
        <w:rPr>
          <w:rFonts w:ascii="Arial" w:hAnsi="Arial"/>
          <w:sz w:val="22"/>
          <w:szCs w:val="22"/>
        </w:rPr>
        <w:t>(2014) 253 CLR 83 (</w:t>
      </w:r>
      <w:r w:rsidRPr="00792070">
        <w:rPr>
          <w:rFonts w:ascii="Arial" w:hAnsi="Arial" w:cs="Arial"/>
          <w:sz w:val="22"/>
          <w:szCs w:val="22"/>
        </w:rPr>
        <w:t>High Court – the issues predominantly concerned the scope of fiduciary duties in commercial transactions and fiduciary duties of company directors).</w:t>
      </w:r>
    </w:p>
    <w:p w:rsidR="00792070" w:rsidRPr="00792070" w:rsidRDefault="00792070" w:rsidP="00792070">
      <w:pPr>
        <w:rPr>
          <w:rFonts w:ascii="Arial" w:hAnsi="Arial"/>
          <w:b/>
          <w:sz w:val="22"/>
          <w:szCs w:val="22"/>
          <w:u w:val="single"/>
        </w:rPr>
      </w:pPr>
    </w:p>
    <w:p w:rsidR="00792070" w:rsidRPr="00792070" w:rsidRDefault="00792070" w:rsidP="00792070">
      <w:pPr>
        <w:rPr>
          <w:rFonts w:ascii="Arial" w:hAnsi="Arial"/>
          <w:b/>
          <w:sz w:val="22"/>
          <w:szCs w:val="22"/>
          <w:u w:val="single"/>
        </w:rPr>
      </w:pPr>
      <w:r w:rsidRPr="00792070">
        <w:rPr>
          <w:rFonts w:ascii="Arial" w:hAnsi="Arial"/>
          <w:b/>
          <w:sz w:val="22"/>
          <w:szCs w:val="22"/>
          <w:u w:val="single"/>
        </w:rPr>
        <w:t xml:space="preserve">Commercial law, including competition and consumer law </w:t>
      </w:r>
    </w:p>
    <w:p w:rsidR="00792070" w:rsidRPr="00792070" w:rsidRDefault="00792070" w:rsidP="00792070">
      <w:pPr>
        <w:rPr>
          <w:rFonts w:ascii="Arial" w:hAnsi="Arial"/>
          <w:b/>
          <w:sz w:val="22"/>
          <w:szCs w:val="22"/>
          <w:u w:val="single"/>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sz w:val="22"/>
          <w:szCs w:val="22"/>
        </w:rPr>
        <w:t xml:space="preserve">As a </w:t>
      </w:r>
      <w:proofErr w:type="spellStart"/>
      <w:r w:rsidRPr="00792070">
        <w:rPr>
          <w:rFonts w:ascii="Arial" w:hAnsi="Arial" w:cs="Arial"/>
          <w:sz w:val="22"/>
          <w:szCs w:val="22"/>
        </w:rPr>
        <w:t>sessional</w:t>
      </w:r>
      <w:proofErr w:type="spellEnd"/>
      <w:r w:rsidRPr="00792070">
        <w:rPr>
          <w:rFonts w:ascii="Arial" w:hAnsi="Arial" w:cs="Arial"/>
          <w:sz w:val="22"/>
          <w:szCs w:val="22"/>
        </w:rPr>
        <w:t xml:space="preserve"> member of the VCAT, I have decided numerous contractual claims and claims under the Australian Consumer Law.</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i/>
          <w:sz w:val="22"/>
          <w:szCs w:val="22"/>
        </w:rPr>
      </w:pPr>
      <w:r w:rsidRPr="00792070">
        <w:rPr>
          <w:rFonts w:ascii="Arial" w:hAnsi="Arial"/>
          <w:sz w:val="22"/>
          <w:szCs w:val="22"/>
        </w:rPr>
        <w:t>Work in this area has involved drafting pleadings, affidavits, and other court documents and appearing in courts and tribunals and in mediations (see below for recent examples).</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i/>
          <w:sz w:val="22"/>
          <w:szCs w:val="22"/>
        </w:rPr>
      </w:pPr>
      <w:proofErr w:type="spellStart"/>
      <w:r w:rsidRPr="00792070">
        <w:rPr>
          <w:rFonts w:ascii="Arial" w:hAnsi="Arial"/>
          <w:i/>
          <w:sz w:val="22"/>
          <w:szCs w:val="22"/>
        </w:rPr>
        <w:t>Khoee</w:t>
      </w:r>
      <w:proofErr w:type="spellEnd"/>
      <w:r w:rsidRPr="00792070">
        <w:rPr>
          <w:rFonts w:ascii="Arial" w:hAnsi="Arial"/>
          <w:i/>
          <w:sz w:val="22"/>
          <w:szCs w:val="22"/>
        </w:rPr>
        <w:t xml:space="preserve"> v Fletcher and Parker (</w:t>
      </w:r>
      <w:proofErr w:type="spellStart"/>
      <w:r w:rsidRPr="00792070">
        <w:rPr>
          <w:rFonts w:ascii="Arial" w:hAnsi="Arial"/>
          <w:i/>
          <w:sz w:val="22"/>
          <w:szCs w:val="22"/>
        </w:rPr>
        <w:t>Balwyn</w:t>
      </w:r>
      <w:proofErr w:type="spellEnd"/>
      <w:r w:rsidRPr="00792070">
        <w:rPr>
          <w:rFonts w:ascii="Arial" w:hAnsi="Arial"/>
          <w:i/>
          <w:sz w:val="22"/>
          <w:szCs w:val="22"/>
        </w:rPr>
        <w:t xml:space="preserve">) Pty Ltd </w:t>
      </w:r>
      <w:r w:rsidRPr="00792070">
        <w:rPr>
          <w:rFonts w:ascii="Arial" w:hAnsi="Arial"/>
          <w:sz w:val="22"/>
          <w:szCs w:val="22"/>
        </w:rPr>
        <w:t>(2017, settled, dispute involving misleading and deceptive conduct).</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i/>
          <w:sz w:val="22"/>
          <w:szCs w:val="22"/>
        </w:rPr>
      </w:pPr>
      <w:r w:rsidRPr="00792070">
        <w:rPr>
          <w:rFonts w:ascii="Arial" w:hAnsi="Arial"/>
          <w:i/>
          <w:sz w:val="22"/>
          <w:szCs w:val="22"/>
        </w:rPr>
        <w:t xml:space="preserve">SJM Group Pty Ltd v </w:t>
      </w:r>
      <w:proofErr w:type="spellStart"/>
      <w:r w:rsidRPr="00792070">
        <w:rPr>
          <w:rFonts w:ascii="Arial" w:hAnsi="Arial"/>
          <w:i/>
          <w:sz w:val="22"/>
          <w:szCs w:val="22"/>
        </w:rPr>
        <w:t>Lantrak</w:t>
      </w:r>
      <w:proofErr w:type="spellEnd"/>
      <w:r w:rsidRPr="00792070">
        <w:rPr>
          <w:rFonts w:ascii="Arial" w:hAnsi="Arial"/>
          <w:i/>
          <w:sz w:val="22"/>
          <w:szCs w:val="22"/>
        </w:rPr>
        <w:t xml:space="preserve"> Pty Ltd and </w:t>
      </w:r>
      <w:proofErr w:type="spellStart"/>
      <w:r w:rsidRPr="00792070">
        <w:rPr>
          <w:rFonts w:ascii="Arial" w:hAnsi="Arial"/>
          <w:i/>
          <w:sz w:val="22"/>
          <w:szCs w:val="22"/>
        </w:rPr>
        <w:t>Anor</w:t>
      </w:r>
      <w:proofErr w:type="spellEnd"/>
      <w:r w:rsidRPr="00792070">
        <w:rPr>
          <w:rFonts w:ascii="Arial" w:hAnsi="Arial"/>
          <w:i/>
          <w:sz w:val="22"/>
          <w:szCs w:val="22"/>
        </w:rPr>
        <w:t xml:space="preserve"> </w:t>
      </w:r>
      <w:r w:rsidRPr="00792070">
        <w:rPr>
          <w:rFonts w:ascii="Arial" w:hAnsi="Arial"/>
          <w:sz w:val="22"/>
          <w:szCs w:val="22"/>
        </w:rPr>
        <w:t xml:space="preserve">(2016, issues involving breach of contract, application of the </w:t>
      </w:r>
      <w:r w:rsidRPr="00792070">
        <w:rPr>
          <w:rFonts w:ascii="Arial" w:hAnsi="Arial"/>
          <w:i/>
          <w:sz w:val="22"/>
          <w:szCs w:val="22"/>
        </w:rPr>
        <w:t xml:space="preserve">Wrongs Act </w:t>
      </w:r>
      <w:r w:rsidRPr="00792070">
        <w:rPr>
          <w:rFonts w:ascii="Arial" w:hAnsi="Arial"/>
          <w:sz w:val="22"/>
          <w:szCs w:val="22"/>
        </w:rPr>
        <w:t>and the Australian Consumer Law).</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i/>
          <w:sz w:val="22"/>
          <w:szCs w:val="22"/>
        </w:rPr>
      </w:pPr>
      <w:proofErr w:type="spellStart"/>
      <w:r w:rsidRPr="00792070">
        <w:rPr>
          <w:rFonts w:ascii="Arial" w:hAnsi="Arial"/>
          <w:i/>
          <w:sz w:val="22"/>
          <w:szCs w:val="22"/>
        </w:rPr>
        <w:t>Xu</w:t>
      </w:r>
      <w:proofErr w:type="spellEnd"/>
      <w:r w:rsidRPr="00792070">
        <w:rPr>
          <w:rFonts w:ascii="Arial" w:hAnsi="Arial"/>
          <w:i/>
          <w:sz w:val="22"/>
          <w:szCs w:val="22"/>
        </w:rPr>
        <w:t xml:space="preserve"> v Singh </w:t>
      </w:r>
      <w:r w:rsidRPr="00792070">
        <w:rPr>
          <w:rFonts w:ascii="Arial" w:hAnsi="Arial"/>
          <w:sz w:val="22"/>
          <w:szCs w:val="22"/>
        </w:rPr>
        <w:t>(2016, settled, shareholder oppression action).</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sz w:val="22"/>
          <w:szCs w:val="22"/>
        </w:rPr>
      </w:pPr>
      <w:r w:rsidRPr="00792070">
        <w:rPr>
          <w:rFonts w:ascii="Arial" w:hAnsi="Arial"/>
          <w:sz w:val="22"/>
          <w:szCs w:val="22"/>
        </w:rPr>
        <w:t>Confidential commercial fraud case (briefed by VGSO - involved analysis of 100 folders of evidence and provision of advice about possible causes of action and evidentiary issues).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Stenholm Holdings Pty Ltd v </w:t>
      </w:r>
      <w:proofErr w:type="spellStart"/>
      <w:r w:rsidRPr="00792070">
        <w:rPr>
          <w:rFonts w:ascii="Arial" w:hAnsi="Arial" w:cs="Arial"/>
          <w:i/>
          <w:sz w:val="22"/>
          <w:szCs w:val="22"/>
        </w:rPr>
        <w:t>Heylbut</w:t>
      </w:r>
      <w:proofErr w:type="spellEnd"/>
      <w:r w:rsidRPr="00792070">
        <w:rPr>
          <w:rFonts w:ascii="Arial" w:hAnsi="Arial" w:cs="Arial"/>
          <w:sz w:val="22"/>
          <w:szCs w:val="22"/>
        </w:rPr>
        <w:t xml:space="preserve"> (2015, settled during hearing, Supreme Court appeal from VCAT relating to contractual issues and issues of restitution)</w:t>
      </w:r>
    </w:p>
    <w:p w:rsidR="00792070" w:rsidRPr="00792070" w:rsidRDefault="00792070" w:rsidP="00792070">
      <w:pPr>
        <w:rPr>
          <w:rFonts w:ascii="Arial" w:hAnsi="Arial"/>
          <w:b/>
          <w:sz w:val="22"/>
          <w:szCs w:val="22"/>
          <w:u w:val="single"/>
        </w:rPr>
      </w:pPr>
    </w:p>
    <w:p w:rsidR="00792070" w:rsidRPr="00792070" w:rsidRDefault="00792070" w:rsidP="00792070">
      <w:pPr>
        <w:rPr>
          <w:rFonts w:ascii="Arial" w:hAnsi="Arial"/>
          <w:b/>
          <w:sz w:val="22"/>
          <w:szCs w:val="22"/>
          <w:u w:val="single"/>
        </w:rPr>
      </w:pPr>
      <w:r w:rsidRPr="00792070">
        <w:rPr>
          <w:rFonts w:ascii="Arial" w:hAnsi="Arial"/>
          <w:b/>
          <w:sz w:val="22"/>
          <w:szCs w:val="22"/>
          <w:u w:val="single"/>
        </w:rPr>
        <w:t>Common law</w:t>
      </w:r>
    </w:p>
    <w:p w:rsidR="00792070" w:rsidRPr="00792070" w:rsidRDefault="00792070" w:rsidP="00792070">
      <w:pPr>
        <w:rPr>
          <w:rFonts w:ascii="Arial" w:hAnsi="Arial"/>
          <w:b/>
          <w:i/>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sz w:val="22"/>
          <w:szCs w:val="22"/>
        </w:rPr>
        <w:t xml:space="preserve">On </w:t>
      </w:r>
      <w:proofErr w:type="spellStart"/>
      <w:r w:rsidRPr="00792070">
        <w:rPr>
          <w:rFonts w:ascii="Arial" w:hAnsi="Arial"/>
          <w:sz w:val="22"/>
          <w:szCs w:val="22"/>
        </w:rPr>
        <w:t>WorkSafe</w:t>
      </w:r>
      <w:proofErr w:type="spellEnd"/>
      <w:r w:rsidRPr="00792070">
        <w:rPr>
          <w:rFonts w:ascii="Arial" w:hAnsi="Arial"/>
          <w:sz w:val="22"/>
          <w:szCs w:val="22"/>
        </w:rPr>
        <w:t xml:space="preserve"> Victoria’s list of preferred counsel for common law matters.</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i/>
          <w:sz w:val="22"/>
          <w:szCs w:val="22"/>
        </w:rPr>
        <w:t xml:space="preserve">Canny v Fisher McCrae (a firm) </w:t>
      </w:r>
      <w:r w:rsidRPr="00792070">
        <w:rPr>
          <w:rFonts w:ascii="Arial" w:hAnsi="Arial"/>
          <w:sz w:val="22"/>
          <w:szCs w:val="22"/>
        </w:rPr>
        <w:t>(2017, settled, professional negligence claim).</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i/>
          <w:sz w:val="22"/>
          <w:szCs w:val="22"/>
        </w:rPr>
        <w:t xml:space="preserve">Millington v Waste Wise Environmental Pty Ltd </w:t>
      </w:r>
      <w:r w:rsidRPr="00792070">
        <w:rPr>
          <w:rFonts w:ascii="Arial" w:hAnsi="Arial"/>
          <w:sz w:val="22"/>
          <w:szCs w:val="22"/>
        </w:rPr>
        <w:t>[2015] VSC 167 (acted for Insurance Australia Group in this negligence test case involving important damages principles including loss mitigation, the once and for all rule and the compensatory principle)</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i/>
          <w:sz w:val="22"/>
          <w:szCs w:val="22"/>
        </w:rPr>
        <w:t xml:space="preserve">Lyons v Lay </w:t>
      </w:r>
      <w:r w:rsidRPr="00792070">
        <w:rPr>
          <w:rFonts w:ascii="Arial" w:hAnsi="Arial"/>
          <w:sz w:val="22"/>
          <w:szCs w:val="22"/>
        </w:rPr>
        <w:t>(2015, professional negligence claim)</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sz w:val="22"/>
          <w:szCs w:val="22"/>
        </w:rPr>
        <w:t>Various other negligence matters, predominantly involving an element of professional negligence (</w:t>
      </w:r>
      <w:proofErr w:type="spellStart"/>
      <w:r w:rsidRPr="00792070">
        <w:rPr>
          <w:rFonts w:ascii="Arial" w:hAnsi="Arial"/>
          <w:sz w:val="22"/>
          <w:szCs w:val="22"/>
        </w:rPr>
        <w:t>eg</w:t>
      </w:r>
      <w:proofErr w:type="spellEnd"/>
      <w:r w:rsidRPr="00792070">
        <w:rPr>
          <w:rFonts w:ascii="Arial" w:hAnsi="Arial"/>
          <w:sz w:val="22"/>
          <w:szCs w:val="22"/>
        </w:rPr>
        <w:t xml:space="preserve"> accountants, lawyers etc)</w:t>
      </w:r>
    </w:p>
    <w:p w:rsidR="00C920B7" w:rsidRPr="00792070" w:rsidRDefault="00C920B7">
      <w:pPr>
        <w:rPr>
          <w:sz w:val="22"/>
          <w:szCs w:val="22"/>
        </w:rPr>
      </w:pPr>
    </w:p>
    <w:p w:rsidR="00792070" w:rsidRPr="00792070" w:rsidRDefault="00792070" w:rsidP="00792070">
      <w:pPr>
        <w:rPr>
          <w:rFonts w:ascii="Arial" w:hAnsi="Arial"/>
          <w:b/>
          <w:sz w:val="22"/>
          <w:szCs w:val="22"/>
          <w:u w:val="single"/>
        </w:rPr>
      </w:pPr>
      <w:r w:rsidRPr="00792070">
        <w:rPr>
          <w:rFonts w:ascii="Arial" w:hAnsi="Arial"/>
          <w:b/>
          <w:sz w:val="22"/>
          <w:szCs w:val="22"/>
          <w:u w:val="single"/>
        </w:rPr>
        <w:t>Occupational health and safety</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Victorian </w:t>
      </w:r>
      <w:proofErr w:type="spellStart"/>
      <w:r w:rsidRPr="00792070">
        <w:rPr>
          <w:rFonts w:ascii="Arial" w:hAnsi="Arial" w:cs="Arial"/>
          <w:i/>
          <w:sz w:val="22"/>
          <w:szCs w:val="22"/>
        </w:rPr>
        <w:t>Workcover</w:t>
      </w:r>
      <w:proofErr w:type="spellEnd"/>
      <w:r w:rsidRPr="00792070">
        <w:rPr>
          <w:rFonts w:ascii="Arial" w:hAnsi="Arial" w:cs="Arial"/>
          <w:i/>
          <w:sz w:val="22"/>
          <w:szCs w:val="22"/>
        </w:rPr>
        <w:t xml:space="preserve"> Authority v City Circle Pty Ltd </w:t>
      </w:r>
      <w:r w:rsidRPr="00792070">
        <w:rPr>
          <w:rFonts w:ascii="Arial" w:hAnsi="Arial" w:cs="Arial"/>
          <w:sz w:val="22"/>
          <w:szCs w:val="22"/>
        </w:rPr>
        <w:t>(upcoming 5 day trial in December 2017 to prosecute on various criminal breaches).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lastRenderedPageBreak/>
        <w:t xml:space="preserve">Victorian </w:t>
      </w:r>
      <w:proofErr w:type="spellStart"/>
      <w:r w:rsidRPr="00792070">
        <w:rPr>
          <w:rFonts w:ascii="Arial" w:hAnsi="Arial" w:cs="Arial"/>
          <w:i/>
          <w:sz w:val="22"/>
          <w:szCs w:val="22"/>
        </w:rPr>
        <w:t>Workcover</w:t>
      </w:r>
      <w:proofErr w:type="spellEnd"/>
      <w:r w:rsidRPr="00792070">
        <w:rPr>
          <w:rFonts w:ascii="Arial" w:hAnsi="Arial" w:cs="Arial"/>
          <w:i/>
          <w:sz w:val="22"/>
          <w:szCs w:val="22"/>
        </w:rPr>
        <w:t xml:space="preserve"> Authority v Celsius Fire Services Pty Ltd </w:t>
      </w:r>
      <w:r w:rsidRPr="00792070">
        <w:rPr>
          <w:rFonts w:ascii="Arial" w:hAnsi="Arial" w:cs="Arial"/>
          <w:sz w:val="22"/>
          <w:szCs w:val="22"/>
        </w:rPr>
        <w:t>(ongoing prosecution with a 3 week committal to be heard in April 2018).</w:t>
      </w:r>
      <w:r w:rsidRPr="00792070">
        <w:rPr>
          <w:rFonts w:ascii="Arial" w:hAnsi="Arial" w:cs="Arial"/>
          <w:i/>
          <w:sz w:val="22"/>
          <w:szCs w:val="22"/>
        </w:rPr>
        <w:t xml:space="preserve"> </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Victorian </w:t>
      </w:r>
      <w:proofErr w:type="spellStart"/>
      <w:r w:rsidRPr="00792070">
        <w:rPr>
          <w:rFonts w:ascii="Arial" w:hAnsi="Arial" w:cs="Arial"/>
          <w:i/>
          <w:sz w:val="22"/>
          <w:szCs w:val="22"/>
        </w:rPr>
        <w:t>Workcover</w:t>
      </w:r>
      <w:proofErr w:type="spellEnd"/>
      <w:r w:rsidRPr="00792070">
        <w:rPr>
          <w:rFonts w:ascii="Arial" w:hAnsi="Arial" w:cs="Arial"/>
          <w:i/>
          <w:sz w:val="22"/>
          <w:szCs w:val="22"/>
        </w:rPr>
        <w:t xml:space="preserve"> Authority v CFA, Fire Services Commissioner and MFB </w:t>
      </w:r>
      <w:r w:rsidRPr="00792070">
        <w:rPr>
          <w:rFonts w:ascii="Arial" w:hAnsi="Arial" w:cs="Arial"/>
          <w:sz w:val="22"/>
          <w:szCs w:val="22"/>
        </w:rPr>
        <w:t xml:space="preserve">(2015, complex and long running matter over 8 months involving the Hazelwood mine fire and multiple alleged breaches of various provisions of Part 3 of the </w:t>
      </w:r>
      <w:r w:rsidRPr="00792070">
        <w:rPr>
          <w:rFonts w:ascii="Arial" w:hAnsi="Arial" w:cs="Arial"/>
          <w:i/>
          <w:sz w:val="22"/>
          <w:szCs w:val="22"/>
        </w:rPr>
        <w:t>Occupational Health and Safety Act 2004</w:t>
      </w:r>
      <w:r w:rsidRPr="00792070">
        <w:rPr>
          <w:rFonts w:ascii="Arial" w:hAnsi="Arial" w:cs="Arial"/>
          <w:sz w:val="22"/>
          <w:szCs w:val="22"/>
        </w:rPr>
        <w:t xml:space="preserve"> which did not ultimately result in charges being laid).</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proofErr w:type="spellStart"/>
      <w:r w:rsidRPr="00792070">
        <w:rPr>
          <w:rFonts w:ascii="Arial" w:hAnsi="Arial" w:cs="Arial"/>
          <w:i/>
          <w:sz w:val="22"/>
          <w:szCs w:val="22"/>
        </w:rPr>
        <w:t>Baiada</w:t>
      </w:r>
      <w:proofErr w:type="spellEnd"/>
      <w:r w:rsidRPr="00792070">
        <w:rPr>
          <w:rFonts w:ascii="Arial" w:hAnsi="Arial" w:cs="Arial"/>
          <w:i/>
          <w:sz w:val="22"/>
          <w:szCs w:val="22"/>
        </w:rPr>
        <w:t xml:space="preserve"> Poultry Pty Ltd v Victorian </w:t>
      </w:r>
      <w:proofErr w:type="spellStart"/>
      <w:r w:rsidRPr="00792070">
        <w:rPr>
          <w:rFonts w:ascii="Arial" w:hAnsi="Arial" w:cs="Arial"/>
          <w:i/>
          <w:sz w:val="22"/>
          <w:szCs w:val="22"/>
        </w:rPr>
        <w:t>Workcover</w:t>
      </w:r>
      <w:proofErr w:type="spellEnd"/>
      <w:r w:rsidRPr="00792070">
        <w:rPr>
          <w:rFonts w:ascii="Arial" w:hAnsi="Arial" w:cs="Arial"/>
          <w:i/>
          <w:sz w:val="22"/>
          <w:szCs w:val="22"/>
        </w:rPr>
        <w:t xml:space="preserve"> Authority </w:t>
      </w:r>
      <w:r w:rsidRPr="00792070">
        <w:rPr>
          <w:rFonts w:ascii="Arial" w:hAnsi="Arial" w:cs="Arial"/>
          <w:sz w:val="22"/>
          <w:szCs w:val="22"/>
        </w:rPr>
        <w:t>(unreported, 2015, Court of Appeal leave application involving issues relating to maintaining an adequate system of work in a chicken processing plant).</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i/>
          <w:sz w:val="22"/>
          <w:szCs w:val="22"/>
        </w:rPr>
        <w:t xml:space="preserve">Lofts Quarries Pty Ltd v </w:t>
      </w:r>
      <w:proofErr w:type="spellStart"/>
      <w:r w:rsidRPr="00792070">
        <w:rPr>
          <w:rFonts w:ascii="Arial" w:hAnsi="Arial" w:cs="Arial"/>
          <w:i/>
          <w:sz w:val="22"/>
          <w:szCs w:val="22"/>
        </w:rPr>
        <w:t>Worksafe</w:t>
      </w:r>
      <w:proofErr w:type="spellEnd"/>
      <w:r w:rsidRPr="00792070">
        <w:rPr>
          <w:rFonts w:ascii="Arial" w:hAnsi="Arial" w:cs="Arial"/>
          <w:i/>
          <w:sz w:val="22"/>
          <w:szCs w:val="22"/>
        </w:rPr>
        <w:t xml:space="preserve"> Victoria </w:t>
      </w:r>
      <w:r w:rsidRPr="00792070">
        <w:rPr>
          <w:rFonts w:ascii="Arial" w:hAnsi="Arial" w:cs="Arial"/>
          <w:sz w:val="22"/>
          <w:szCs w:val="22"/>
        </w:rPr>
        <w:t xml:space="preserve">(2015, settled, judicial review of a </w:t>
      </w:r>
      <w:proofErr w:type="spellStart"/>
      <w:r w:rsidRPr="00792070">
        <w:rPr>
          <w:rFonts w:ascii="Arial" w:hAnsi="Arial" w:cs="Arial"/>
          <w:sz w:val="22"/>
          <w:szCs w:val="22"/>
        </w:rPr>
        <w:t>Worksafe</w:t>
      </w:r>
      <w:proofErr w:type="spellEnd"/>
      <w:r w:rsidRPr="00792070">
        <w:rPr>
          <w:rFonts w:ascii="Arial" w:hAnsi="Arial" w:cs="Arial"/>
          <w:sz w:val="22"/>
          <w:szCs w:val="22"/>
        </w:rPr>
        <w:t xml:space="preserve"> Victoria decision regarding a quarrying company and its transport contractors in respect of s 21 of the </w:t>
      </w:r>
      <w:r w:rsidRPr="00792070">
        <w:rPr>
          <w:rFonts w:ascii="Arial" w:hAnsi="Arial" w:cs="Arial"/>
          <w:i/>
          <w:sz w:val="22"/>
          <w:szCs w:val="22"/>
        </w:rPr>
        <w:t>Occupational Health and Safety Act 2004</w:t>
      </w:r>
      <w:r w:rsidRPr="00792070">
        <w:rPr>
          <w:rFonts w:ascii="Arial" w:hAnsi="Arial" w:cs="Arial"/>
          <w:sz w:val="22"/>
          <w:szCs w:val="22"/>
        </w:rPr>
        <w:t>).</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rPr>
          <w:rFonts w:ascii="Arial" w:hAnsi="Arial" w:cs="Arial"/>
          <w:sz w:val="22"/>
          <w:szCs w:val="22"/>
        </w:rPr>
      </w:pPr>
      <w:r w:rsidRPr="00792070">
        <w:rPr>
          <w:rFonts w:ascii="Arial" w:hAnsi="Arial" w:cs="Arial"/>
          <w:sz w:val="22"/>
          <w:szCs w:val="22"/>
        </w:rPr>
        <w:t xml:space="preserve">Various advices to employers in respect of </w:t>
      </w:r>
      <w:proofErr w:type="spellStart"/>
      <w:r w:rsidRPr="00792070">
        <w:rPr>
          <w:rFonts w:ascii="Arial" w:hAnsi="Arial" w:cs="Arial"/>
          <w:sz w:val="22"/>
          <w:szCs w:val="22"/>
        </w:rPr>
        <w:t>Workcover</w:t>
      </w:r>
      <w:proofErr w:type="spellEnd"/>
      <w:r w:rsidRPr="00792070">
        <w:rPr>
          <w:rFonts w:ascii="Arial" w:hAnsi="Arial" w:cs="Arial"/>
          <w:sz w:val="22"/>
          <w:szCs w:val="22"/>
        </w:rPr>
        <w:t xml:space="preserve"> premium/payroll tax matters, including classifications.</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sz w:val="22"/>
          <w:szCs w:val="22"/>
        </w:rPr>
        <w:t>Previously acted in the Duty Barristers pro-bono scheme in the Magistrates’ Court assisting with criminal pleas.</w:t>
      </w:r>
    </w:p>
    <w:p w:rsidR="00792070" w:rsidRPr="00792070" w:rsidRDefault="00792070" w:rsidP="00792070">
      <w:pPr>
        <w:pStyle w:val="ListParagraph"/>
        <w:rPr>
          <w:rFonts w:ascii="Arial" w:hAnsi="Arial" w:cs="Arial"/>
          <w:i/>
          <w:sz w:val="22"/>
          <w:szCs w:val="22"/>
        </w:rPr>
      </w:pPr>
    </w:p>
    <w:p w:rsidR="00792070" w:rsidRPr="00792070" w:rsidRDefault="00792070" w:rsidP="00792070">
      <w:pPr>
        <w:spacing w:after="200" w:line="276" w:lineRule="auto"/>
        <w:rPr>
          <w:rFonts w:ascii="Arial" w:hAnsi="Arial" w:cs="Arial"/>
          <w:i/>
          <w:sz w:val="22"/>
          <w:szCs w:val="22"/>
        </w:rPr>
      </w:pPr>
      <w:r w:rsidRPr="00792070">
        <w:rPr>
          <w:rFonts w:ascii="Arial" w:hAnsi="Arial"/>
          <w:b/>
          <w:sz w:val="22"/>
          <w:szCs w:val="22"/>
          <w:u w:val="single"/>
        </w:rPr>
        <w:t>Superannuation</w:t>
      </w:r>
    </w:p>
    <w:p w:rsidR="00792070" w:rsidRPr="00792070" w:rsidRDefault="00792070" w:rsidP="00792070">
      <w:pPr>
        <w:pStyle w:val="ListParagraph"/>
        <w:numPr>
          <w:ilvl w:val="0"/>
          <w:numId w:val="1"/>
        </w:numPr>
        <w:rPr>
          <w:rFonts w:ascii="Arial" w:hAnsi="Arial" w:cs="Arial"/>
          <w:i/>
          <w:sz w:val="22"/>
          <w:szCs w:val="22"/>
        </w:rPr>
      </w:pPr>
      <w:r w:rsidRPr="00792070">
        <w:rPr>
          <w:rFonts w:ascii="Arial" w:hAnsi="Arial" w:cs="Arial"/>
          <w:i/>
          <w:sz w:val="22"/>
          <w:szCs w:val="22"/>
        </w:rPr>
        <w:t xml:space="preserve">Hart v Commissioner of Taxation </w:t>
      </w:r>
      <w:r w:rsidRPr="00792070">
        <w:rPr>
          <w:rFonts w:ascii="Arial" w:hAnsi="Arial" w:cs="Arial"/>
          <w:sz w:val="22"/>
          <w:szCs w:val="22"/>
        </w:rPr>
        <w:t>(ongoing in 2017, disqualification for breaches of superannuation legislation).</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proofErr w:type="spellStart"/>
      <w:r w:rsidRPr="00792070">
        <w:rPr>
          <w:rFonts w:ascii="Arial" w:hAnsi="Arial" w:cs="Arial"/>
          <w:i/>
          <w:sz w:val="22"/>
          <w:szCs w:val="22"/>
        </w:rPr>
        <w:t>Alamiste</w:t>
      </w:r>
      <w:proofErr w:type="spellEnd"/>
      <w:r w:rsidRPr="00792070">
        <w:rPr>
          <w:rFonts w:ascii="Arial" w:hAnsi="Arial" w:cs="Arial"/>
          <w:i/>
          <w:sz w:val="22"/>
          <w:szCs w:val="22"/>
        </w:rPr>
        <w:t xml:space="preserve"> Superannuation Fund v </w:t>
      </w:r>
      <w:proofErr w:type="spellStart"/>
      <w:r w:rsidRPr="00792070">
        <w:rPr>
          <w:rFonts w:ascii="Arial" w:hAnsi="Arial" w:cs="Arial"/>
          <w:i/>
          <w:sz w:val="22"/>
          <w:szCs w:val="22"/>
        </w:rPr>
        <w:t>Cmr</w:t>
      </w:r>
      <w:proofErr w:type="spellEnd"/>
      <w:r w:rsidRPr="00792070">
        <w:rPr>
          <w:rFonts w:ascii="Arial" w:hAnsi="Arial" w:cs="Arial"/>
          <w:i/>
          <w:sz w:val="22"/>
          <w:szCs w:val="22"/>
        </w:rPr>
        <w:t xml:space="preserve"> of Taxation </w:t>
      </w:r>
      <w:r w:rsidRPr="00792070">
        <w:rPr>
          <w:rFonts w:ascii="Arial" w:hAnsi="Arial" w:cs="Arial"/>
          <w:sz w:val="22"/>
          <w:szCs w:val="22"/>
        </w:rPr>
        <w:t>(2015, Federal Court, settled, superannuation dispute).</w:t>
      </w:r>
    </w:p>
    <w:p w:rsidR="00792070" w:rsidRPr="00792070" w:rsidRDefault="00792070" w:rsidP="00792070">
      <w:pPr>
        <w:pStyle w:val="ListParagraph"/>
        <w:rPr>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VN Railway Pty Ltd &amp; Ors v FCT</w:t>
      </w:r>
      <w:r w:rsidRPr="00792070">
        <w:rPr>
          <w:rFonts w:ascii="Arial" w:hAnsi="Arial" w:cs="Arial"/>
          <w:sz w:val="22"/>
          <w:szCs w:val="22"/>
        </w:rPr>
        <w:t xml:space="preserve"> [2013] FCA 265 (Federal Court, superannuation, penalties and procedural fairness and Full Federal Court case which was withdrawn prior to hearing). </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sz w:val="22"/>
          <w:szCs w:val="22"/>
        </w:rPr>
        <w:t>Assisting law firms with drafting their superannuation trust deeds and with amendments to those deeds in light of 2016 and 2017 reforms.</w:t>
      </w:r>
    </w:p>
    <w:p w:rsidR="00792070" w:rsidRPr="00792070" w:rsidRDefault="00792070" w:rsidP="00792070">
      <w:pPr>
        <w:rPr>
          <w:rFonts w:ascii="Arial" w:hAnsi="Arial"/>
          <w:b/>
          <w:sz w:val="22"/>
          <w:szCs w:val="22"/>
          <w:u w:val="single"/>
        </w:rPr>
      </w:pPr>
      <w:r w:rsidRPr="00792070">
        <w:rPr>
          <w:rFonts w:ascii="Arial" w:hAnsi="Arial"/>
          <w:b/>
          <w:sz w:val="22"/>
          <w:szCs w:val="22"/>
          <w:u w:val="single"/>
        </w:rPr>
        <w:t>Trusts and deceased estates</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rPr>
          <w:rFonts w:ascii="Arial" w:hAnsi="Arial"/>
          <w:sz w:val="22"/>
          <w:szCs w:val="22"/>
        </w:rPr>
      </w:pPr>
      <w:r w:rsidRPr="00792070">
        <w:rPr>
          <w:rFonts w:ascii="Arial" w:hAnsi="Arial"/>
          <w:i/>
          <w:sz w:val="22"/>
          <w:szCs w:val="22"/>
        </w:rPr>
        <w:t xml:space="preserve">Dance &amp; Ors v Ian Dance Nominees Pty Ltd &amp; Ors </w:t>
      </w:r>
      <w:r w:rsidRPr="00792070">
        <w:rPr>
          <w:rFonts w:ascii="Arial" w:hAnsi="Arial"/>
          <w:sz w:val="22"/>
          <w:szCs w:val="22"/>
        </w:rPr>
        <w:t>(2016, Supreme Court, settled dispute to restrain a trustee from exercising their discretion to distribute benefits).</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i/>
          <w:sz w:val="22"/>
          <w:szCs w:val="22"/>
        </w:rPr>
        <w:t xml:space="preserve">Barnett v Barnett </w:t>
      </w:r>
      <w:r w:rsidRPr="00792070">
        <w:rPr>
          <w:rFonts w:ascii="Arial" w:hAnsi="Arial"/>
          <w:sz w:val="22"/>
          <w:szCs w:val="22"/>
        </w:rPr>
        <w:t>(2014, County Court, settled dispute to remove a trustee of a family trust).</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rPr>
          <w:rFonts w:ascii="Arial" w:hAnsi="Arial"/>
          <w:sz w:val="22"/>
          <w:szCs w:val="22"/>
          <w:u w:val="single"/>
        </w:rPr>
      </w:pPr>
      <w:r w:rsidRPr="00792070">
        <w:rPr>
          <w:rFonts w:ascii="Arial" w:hAnsi="Arial"/>
          <w:i/>
          <w:sz w:val="22"/>
          <w:szCs w:val="22"/>
        </w:rPr>
        <w:t xml:space="preserve">Frick Foundation v Attorney-General </w:t>
      </w:r>
      <w:r w:rsidRPr="00792070">
        <w:rPr>
          <w:rFonts w:ascii="Arial" w:hAnsi="Arial"/>
          <w:sz w:val="22"/>
          <w:szCs w:val="22"/>
        </w:rPr>
        <w:t>(Supreme Court, unreported, amendment of a deed of a charitable trust).</w:t>
      </w:r>
    </w:p>
    <w:p w:rsidR="00792070" w:rsidRPr="00792070" w:rsidRDefault="00792070" w:rsidP="00792070">
      <w:pPr>
        <w:pStyle w:val="ListParagraph"/>
        <w:rPr>
          <w:rFonts w:ascii="Arial" w:hAnsi="Arial"/>
          <w:sz w:val="22"/>
          <w:szCs w:val="22"/>
          <w:u w:val="single"/>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Smith v </w:t>
      </w:r>
      <w:proofErr w:type="spellStart"/>
      <w:r w:rsidRPr="00792070">
        <w:rPr>
          <w:rFonts w:ascii="Arial" w:hAnsi="Arial" w:cs="Arial"/>
          <w:i/>
          <w:sz w:val="22"/>
          <w:szCs w:val="22"/>
        </w:rPr>
        <w:t>Fingal</w:t>
      </w:r>
      <w:proofErr w:type="spellEnd"/>
      <w:r w:rsidRPr="00792070">
        <w:rPr>
          <w:rFonts w:ascii="Arial" w:hAnsi="Arial" w:cs="Arial"/>
          <w:i/>
          <w:sz w:val="22"/>
          <w:szCs w:val="22"/>
        </w:rPr>
        <w:t xml:space="preserve"> Glen Pty Ltd </w:t>
      </w:r>
      <w:proofErr w:type="spellStart"/>
      <w:r w:rsidRPr="00792070">
        <w:rPr>
          <w:rFonts w:ascii="Arial" w:hAnsi="Arial" w:cs="Arial"/>
          <w:i/>
          <w:sz w:val="22"/>
          <w:szCs w:val="22"/>
        </w:rPr>
        <w:t>atf</w:t>
      </w:r>
      <w:proofErr w:type="spellEnd"/>
      <w:r w:rsidRPr="00792070">
        <w:rPr>
          <w:rFonts w:ascii="Arial" w:hAnsi="Arial" w:cs="Arial"/>
          <w:i/>
          <w:sz w:val="22"/>
          <w:szCs w:val="22"/>
        </w:rPr>
        <w:t xml:space="preserve"> Comfort Resort </w:t>
      </w:r>
      <w:proofErr w:type="spellStart"/>
      <w:r w:rsidRPr="00792070">
        <w:rPr>
          <w:rFonts w:ascii="Arial" w:hAnsi="Arial" w:cs="Arial"/>
          <w:i/>
          <w:sz w:val="22"/>
          <w:szCs w:val="22"/>
        </w:rPr>
        <w:t>Echuca</w:t>
      </w:r>
      <w:proofErr w:type="spellEnd"/>
      <w:r w:rsidRPr="00792070">
        <w:rPr>
          <w:rFonts w:ascii="Arial" w:hAnsi="Arial" w:cs="Arial"/>
          <w:i/>
          <w:sz w:val="22"/>
          <w:szCs w:val="22"/>
        </w:rPr>
        <w:t xml:space="preserve"> </w:t>
      </w:r>
      <w:proofErr w:type="spellStart"/>
      <w:r w:rsidRPr="00792070">
        <w:rPr>
          <w:rFonts w:ascii="Arial" w:hAnsi="Arial" w:cs="Arial"/>
          <w:i/>
          <w:sz w:val="22"/>
          <w:szCs w:val="22"/>
        </w:rPr>
        <w:t>Moama</w:t>
      </w:r>
      <w:proofErr w:type="spellEnd"/>
      <w:r w:rsidRPr="00792070">
        <w:rPr>
          <w:rFonts w:ascii="Arial" w:hAnsi="Arial" w:cs="Arial"/>
          <w:i/>
          <w:sz w:val="22"/>
          <w:szCs w:val="22"/>
        </w:rPr>
        <w:t xml:space="preserve"> Trust </w:t>
      </w:r>
      <w:r w:rsidRPr="00792070">
        <w:rPr>
          <w:rFonts w:ascii="Arial" w:hAnsi="Arial" w:cs="Arial"/>
          <w:sz w:val="22"/>
          <w:szCs w:val="22"/>
        </w:rPr>
        <w:t>(2013, County Court, dispute between a unit holder and the trustee of a trust).</w:t>
      </w:r>
    </w:p>
    <w:p w:rsidR="00792070" w:rsidRPr="00792070" w:rsidRDefault="00792070" w:rsidP="00792070">
      <w:pPr>
        <w:pStyle w:val="ListParagraph"/>
        <w:spacing w:after="200" w:line="276" w:lineRule="auto"/>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i/>
          <w:sz w:val="22"/>
          <w:szCs w:val="22"/>
        </w:rPr>
      </w:pPr>
      <w:r w:rsidRPr="00792070">
        <w:rPr>
          <w:rFonts w:ascii="Arial" w:hAnsi="Arial" w:cs="Arial"/>
          <w:sz w:val="22"/>
          <w:szCs w:val="22"/>
        </w:rPr>
        <w:lastRenderedPageBreak/>
        <w:t>Providing advice on trust deed interpretation and assisting law firms with drafting issues with discretionary trust deeds and unit trust deeds.</w:t>
      </w:r>
    </w:p>
    <w:p w:rsidR="00792070" w:rsidRPr="00792070" w:rsidRDefault="00792070" w:rsidP="00792070">
      <w:pPr>
        <w:rPr>
          <w:rFonts w:ascii="Arial" w:hAnsi="Arial"/>
          <w:b/>
          <w:sz w:val="22"/>
          <w:szCs w:val="22"/>
          <w:u w:val="single"/>
        </w:rPr>
      </w:pPr>
      <w:r w:rsidRPr="00792070">
        <w:rPr>
          <w:rFonts w:ascii="Arial" w:hAnsi="Arial"/>
          <w:b/>
          <w:sz w:val="22"/>
          <w:szCs w:val="22"/>
          <w:u w:val="single"/>
        </w:rPr>
        <w:t>Taxation</w:t>
      </w:r>
    </w:p>
    <w:p w:rsidR="00792070" w:rsidRPr="00792070" w:rsidRDefault="00792070" w:rsidP="00792070">
      <w:pPr>
        <w:pStyle w:val="ListParagraph"/>
        <w:rPr>
          <w:rFonts w:ascii="Arial" w:hAnsi="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Deputy Commissioner of Taxation v </w:t>
      </w:r>
      <w:proofErr w:type="spellStart"/>
      <w:r w:rsidRPr="00792070">
        <w:rPr>
          <w:rFonts w:ascii="Arial" w:hAnsi="Arial" w:cs="Arial"/>
          <w:i/>
          <w:sz w:val="22"/>
          <w:szCs w:val="22"/>
        </w:rPr>
        <w:t>Hosseini</w:t>
      </w:r>
      <w:proofErr w:type="spellEnd"/>
      <w:r w:rsidRPr="00792070">
        <w:rPr>
          <w:rFonts w:ascii="Arial" w:hAnsi="Arial" w:cs="Arial"/>
          <w:i/>
          <w:sz w:val="22"/>
          <w:szCs w:val="22"/>
        </w:rPr>
        <w:t xml:space="preserve"> </w:t>
      </w:r>
      <w:r w:rsidRPr="00792070">
        <w:rPr>
          <w:rFonts w:ascii="Arial" w:hAnsi="Arial" w:cs="Arial"/>
          <w:sz w:val="22"/>
          <w:szCs w:val="22"/>
        </w:rPr>
        <w:t>(ongoing, Supreme Court).</w:t>
      </w:r>
    </w:p>
    <w:p w:rsidR="00792070" w:rsidRPr="00792070" w:rsidRDefault="00792070" w:rsidP="00792070">
      <w:pPr>
        <w:pStyle w:val="ListParagraph"/>
        <w:spacing w:after="200" w:line="276" w:lineRule="auto"/>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proofErr w:type="spellStart"/>
      <w:r w:rsidRPr="00792070">
        <w:rPr>
          <w:rFonts w:ascii="Arial" w:hAnsi="Arial" w:cs="Arial"/>
          <w:i/>
          <w:sz w:val="22"/>
          <w:szCs w:val="22"/>
        </w:rPr>
        <w:t>Watsford</w:t>
      </w:r>
      <w:proofErr w:type="spellEnd"/>
      <w:r w:rsidRPr="00792070">
        <w:rPr>
          <w:rFonts w:ascii="Arial" w:hAnsi="Arial" w:cs="Arial"/>
          <w:i/>
          <w:sz w:val="22"/>
          <w:szCs w:val="22"/>
        </w:rPr>
        <w:t xml:space="preserve"> v FCT </w:t>
      </w:r>
      <w:r w:rsidRPr="00792070">
        <w:rPr>
          <w:rFonts w:ascii="Arial" w:hAnsi="Arial" w:cs="Arial"/>
          <w:sz w:val="22"/>
          <w:szCs w:val="22"/>
        </w:rPr>
        <w:t xml:space="preserve">[2013] FCA 1389 (Federal Court – issue of contractual interpretation of an options agreement); [2012] AATA 331 (original AAT decision). </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International All Sports v FCT</w:t>
      </w:r>
      <w:r w:rsidRPr="00792070">
        <w:rPr>
          <w:rFonts w:ascii="Arial" w:hAnsi="Arial" w:cs="Arial"/>
          <w:sz w:val="22"/>
          <w:szCs w:val="22"/>
        </w:rPr>
        <w:t xml:space="preserve"> [2011] FCA 824 (Federal Court – GST matter); (No 2) [2011] FCA 1027 (Federal Court – costs dispute).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Heaney v Commissioner of Taxation</w:t>
      </w:r>
      <w:r w:rsidRPr="00792070">
        <w:rPr>
          <w:rFonts w:ascii="Arial" w:hAnsi="Arial" w:cs="Arial"/>
          <w:sz w:val="22"/>
          <w:szCs w:val="22"/>
        </w:rPr>
        <w:t xml:space="preserve"> [2013] AATA 331 (non-commercial loss rules).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Hadrian </w:t>
      </w:r>
      <w:proofErr w:type="spellStart"/>
      <w:r w:rsidRPr="00792070">
        <w:rPr>
          <w:rFonts w:ascii="Arial" w:hAnsi="Arial" w:cs="Arial"/>
          <w:i/>
          <w:sz w:val="22"/>
          <w:szCs w:val="22"/>
        </w:rPr>
        <w:t>Fraval</w:t>
      </w:r>
      <w:proofErr w:type="spellEnd"/>
      <w:r w:rsidRPr="00792070">
        <w:rPr>
          <w:rFonts w:ascii="Arial" w:hAnsi="Arial" w:cs="Arial"/>
          <w:i/>
          <w:sz w:val="22"/>
          <w:szCs w:val="22"/>
        </w:rPr>
        <w:t xml:space="preserve"> Nominees Pty Ltd v Commissioner of Taxation</w:t>
      </w:r>
      <w:r w:rsidRPr="00792070">
        <w:rPr>
          <w:rFonts w:ascii="Arial" w:hAnsi="Arial" w:cs="Arial"/>
          <w:sz w:val="22"/>
          <w:szCs w:val="22"/>
        </w:rPr>
        <w:t xml:space="preserve"> [2013] AATA 127 (research and development concession).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Confidential and Commissioner of Taxation</w:t>
      </w:r>
      <w:r w:rsidRPr="00792070">
        <w:rPr>
          <w:rFonts w:ascii="Arial" w:hAnsi="Arial" w:cs="Arial"/>
          <w:sz w:val="22"/>
          <w:szCs w:val="22"/>
        </w:rPr>
        <w:t xml:space="preserve"> [2012] AATA 178 (trusts and superannuation case).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Bell and Commissioner of Taxation</w:t>
      </w:r>
      <w:r w:rsidRPr="00792070">
        <w:rPr>
          <w:rFonts w:ascii="Arial" w:hAnsi="Arial" w:cs="Arial"/>
          <w:sz w:val="22"/>
          <w:szCs w:val="22"/>
        </w:rPr>
        <w:t xml:space="preserve"> [2012] AATA 45 (small business CGT concessions).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proofErr w:type="spellStart"/>
      <w:r w:rsidRPr="00792070">
        <w:rPr>
          <w:rFonts w:ascii="Arial" w:hAnsi="Arial" w:cs="Arial"/>
          <w:i/>
          <w:sz w:val="22"/>
          <w:szCs w:val="22"/>
        </w:rPr>
        <w:t>Armirthalingam</w:t>
      </w:r>
      <w:proofErr w:type="spellEnd"/>
      <w:r w:rsidRPr="00792070">
        <w:rPr>
          <w:rFonts w:ascii="Arial" w:hAnsi="Arial" w:cs="Arial"/>
          <w:i/>
          <w:sz w:val="22"/>
          <w:szCs w:val="22"/>
        </w:rPr>
        <w:t xml:space="preserve"> and Commissioner of Taxation</w:t>
      </w:r>
      <w:r w:rsidRPr="00792070">
        <w:rPr>
          <w:rFonts w:ascii="Arial" w:hAnsi="Arial" w:cs="Arial"/>
          <w:sz w:val="22"/>
          <w:szCs w:val="22"/>
        </w:rPr>
        <w:t xml:space="preserve"> [2012] AATA 449 (income tax case).</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Knox and Commissioner of Taxation</w:t>
      </w:r>
      <w:r w:rsidRPr="00792070">
        <w:rPr>
          <w:rFonts w:ascii="Arial" w:hAnsi="Arial" w:cs="Arial"/>
          <w:sz w:val="22"/>
          <w:szCs w:val="22"/>
        </w:rPr>
        <w:t xml:space="preserve"> [2011] AATA 906 (partnership and interest deductibility case). </w:t>
      </w:r>
    </w:p>
    <w:p w:rsidR="00792070" w:rsidRPr="00792070" w:rsidRDefault="00792070" w:rsidP="00792070">
      <w:pPr>
        <w:pStyle w:val="ListParagraph"/>
        <w:rPr>
          <w:rFonts w:ascii="Arial" w:hAnsi="Arial" w:cs="Arial"/>
          <w:i/>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Confidential and Commissioner of Taxation</w:t>
      </w:r>
      <w:r w:rsidRPr="00792070">
        <w:rPr>
          <w:rFonts w:ascii="Arial" w:hAnsi="Arial" w:cs="Arial"/>
          <w:sz w:val="22"/>
          <w:szCs w:val="22"/>
        </w:rPr>
        <w:t xml:space="preserve"> [2011] AATA 682 (personal services income case). </w:t>
      </w:r>
    </w:p>
    <w:p w:rsidR="00792070" w:rsidRPr="00792070" w:rsidRDefault="00792070" w:rsidP="00792070">
      <w:pPr>
        <w:pStyle w:val="ListParagraph"/>
        <w:rPr>
          <w:rFonts w:ascii="Arial" w:hAnsi="Arial" w:cs="Arial"/>
          <w:sz w:val="22"/>
          <w:szCs w:val="22"/>
        </w:rPr>
      </w:pPr>
    </w:p>
    <w:p w:rsidR="00792070" w:rsidRPr="00792070" w:rsidRDefault="00792070" w:rsidP="00792070">
      <w:pPr>
        <w:pStyle w:val="ListParagraph"/>
        <w:numPr>
          <w:ilvl w:val="0"/>
          <w:numId w:val="1"/>
        </w:numPr>
        <w:spacing w:after="200" w:line="276" w:lineRule="auto"/>
        <w:rPr>
          <w:rFonts w:ascii="Arial" w:hAnsi="Arial" w:cs="Arial"/>
          <w:sz w:val="22"/>
          <w:szCs w:val="22"/>
        </w:rPr>
      </w:pPr>
      <w:r w:rsidRPr="00792070">
        <w:rPr>
          <w:rFonts w:ascii="Arial" w:hAnsi="Arial" w:cs="Arial"/>
          <w:i/>
          <w:sz w:val="22"/>
          <w:szCs w:val="22"/>
        </w:rPr>
        <w:t xml:space="preserve">A &amp; C </w:t>
      </w:r>
      <w:proofErr w:type="spellStart"/>
      <w:r w:rsidRPr="00792070">
        <w:rPr>
          <w:rFonts w:ascii="Arial" w:hAnsi="Arial" w:cs="Arial"/>
          <w:i/>
          <w:sz w:val="22"/>
          <w:szCs w:val="22"/>
        </w:rPr>
        <w:t>Sliwa</w:t>
      </w:r>
      <w:proofErr w:type="spellEnd"/>
      <w:r w:rsidRPr="00792070">
        <w:rPr>
          <w:rFonts w:ascii="Arial" w:hAnsi="Arial" w:cs="Arial"/>
          <w:i/>
          <w:sz w:val="22"/>
          <w:szCs w:val="22"/>
        </w:rPr>
        <w:t xml:space="preserve"> and Commissioner of Taxation</w:t>
      </w:r>
      <w:r w:rsidRPr="00792070">
        <w:rPr>
          <w:rFonts w:ascii="Arial" w:hAnsi="Arial" w:cs="Arial"/>
          <w:sz w:val="22"/>
          <w:szCs w:val="22"/>
        </w:rPr>
        <w:t xml:space="preserve"> [2011] AATA 390 (GST property development and income tax case). </w:t>
      </w:r>
    </w:p>
    <w:p w:rsidR="00792070" w:rsidRPr="00792070" w:rsidRDefault="00792070">
      <w:pPr>
        <w:rPr>
          <w:sz w:val="22"/>
          <w:szCs w:val="22"/>
        </w:rPr>
      </w:pPr>
    </w:p>
    <w:sectPr w:rsidR="00792070" w:rsidRPr="00792070" w:rsidSect="00C920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B3697"/>
    <w:multiLevelType w:val="hybridMultilevel"/>
    <w:tmpl w:val="7D7C68FA"/>
    <w:lvl w:ilvl="0" w:tplc="B36A81B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070"/>
    <w:rsid w:val="00104B05"/>
    <w:rsid w:val="00162C8E"/>
    <w:rsid w:val="0040533E"/>
    <w:rsid w:val="004B55C4"/>
    <w:rsid w:val="00746406"/>
    <w:rsid w:val="00792070"/>
    <w:rsid w:val="00805210"/>
    <w:rsid w:val="008100B1"/>
    <w:rsid w:val="00A56AE8"/>
    <w:rsid w:val="00C920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7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8690</Characters>
  <Application>Microsoft Office Word</Application>
  <DocSecurity>0</DocSecurity>
  <Lines>72</Lines>
  <Paragraphs>20</Paragraphs>
  <ScaleCrop>false</ScaleCrop>
  <Company>Hewlett-Packard</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2017-11-26T06:25:00Z</dcterms:created>
  <dcterms:modified xsi:type="dcterms:W3CDTF">2017-11-26T06:27:00Z</dcterms:modified>
</cp:coreProperties>
</file>